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11340"/>
        </w:tabs>
        <w:spacing w:line="560" w:lineRule="exact"/>
        <w:ind w:left="4018" w:hanging="4029" w:hangingChars="900"/>
        <w:jc w:val="center"/>
        <w:rPr>
          <w:rFonts w:hint="default" w:ascii="Times New Roman" w:hAnsi="Times New Roman" w:eastAsia="方正小标宋简体" w:cs="Times New Roman"/>
          <w:b/>
          <w:bCs/>
          <w:color w:val="auto"/>
          <w:spacing w:val="3"/>
          <w:sz w:val="44"/>
          <w:szCs w:val="44"/>
        </w:rPr>
      </w:pPr>
      <w:r>
        <w:rPr>
          <w:rFonts w:hint="default" w:ascii="Times New Roman" w:hAnsi="Times New Roman" w:eastAsia="方正小标宋简体" w:cs="Times New Roman"/>
          <w:b/>
          <w:bCs/>
          <w:color w:val="auto"/>
          <w:spacing w:val="3"/>
          <w:sz w:val="44"/>
          <w:szCs w:val="44"/>
        </w:rPr>
        <w:t>惠州市国有建设用地使用权</w:t>
      </w:r>
    </w:p>
    <w:p>
      <w:pPr>
        <w:tabs>
          <w:tab w:val="left" w:pos="11340"/>
        </w:tabs>
        <w:spacing w:line="560" w:lineRule="exact"/>
        <w:ind w:left="4018" w:hanging="4029" w:hangingChars="900"/>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方正小标宋简体" w:cs="Times New Roman"/>
          <w:b/>
          <w:bCs/>
          <w:color w:val="auto"/>
          <w:spacing w:val="3"/>
          <w:sz w:val="44"/>
          <w:szCs w:val="44"/>
        </w:rPr>
        <w:t>网上挂牌</w:t>
      </w:r>
      <w:r>
        <w:rPr>
          <w:rFonts w:hint="default" w:ascii="Times New Roman" w:hAnsi="Times New Roman" w:eastAsia="方正小标宋简体" w:cs="Times New Roman"/>
          <w:b/>
          <w:bCs/>
          <w:color w:val="auto"/>
          <w:sz w:val="44"/>
          <w:szCs w:val="44"/>
        </w:rPr>
        <w:t>出让公告</w:t>
      </w:r>
    </w:p>
    <w:p>
      <w:pPr>
        <w:spacing w:line="560" w:lineRule="exact"/>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惠市资源挂出告字[2022]</w:t>
      </w:r>
      <w:r>
        <w:rPr>
          <w:rFonts w:hint="default" w:ascii="Times New Roman" w:hAnsi="Times New Roman" w:eastAsia="仿宋_GB2312" w:cs="Times New Roman"/>
          <w:color w:val="auto"/>
          <w:sz w:val="32"/>
          <w:szCs w:val="32"/>
          <w:highlight w:val="none"/>
          <w:lang w:val="en-US" w:eastAsia="zh-CN"/>
        </w:rPr>
        <w:t>00</w:t>
      </w:r>
      <w:r>
        <w:rPr>
          <w:rFonts w:hint="eastAsia"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号</w:t>
      </w:r>
    </w:p>
    <w:p>
      <w:pPr>
        <w:pStyle w:val="2"/>
        <w:rPr>
          <w:rFonts w:hint="default" w:ascii="Times New Roman" w:hAnsi="Times New Roman" w:cs="Times New Roman"/>
          <w:color w:val="auto"/>
        </w:rPr>
      </w:pP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根据《招标拍卖挂牌出让国有建设用地使用权规定》</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国土资源部令第39号</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和《广东省土地使用权交易市场管理规定》</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广东省人民政府令第79号</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的规定，经批准，</w:t>
      </w:r>
      <w:r>
        <w:rPr>
          <w:rFonts w:hint="eastAsia" w:ascii="仿宋" w:hAnsi="仿宋" w:eastAsia="仿宋" w:cs="仿宋"/>
          <w:b w:val="0"/>
          <w:bCs w:val="0"/>
          <w:color w:val="auto"/>
          <w:sz w:val="32"/>
          <w:szCs w:val="32"/>
          <w:lang w:eastAsia="zh-CN"/>
        </w:rPr>
        <w:t>我</w:t>
      </w:r>
      <w:r>
        <w:rPr>
          <w:rFonts w:hint="eastAsia" w:ascii="仿宋" w:hAnsi="仿宋" w:eastAsia="仿宋" w:cs="仿宋"/>
          <w:b w:val="0"/>
          <w:bCs w:val="0"/>
          <w:color w:val="auto"/>
          <w:sz w:val="32"/>
          <w:szCs w:val="32"/>
        </w:rPr>
        <w:t>局决定以网上挂牌方式公开出让下列一宗国有建设用地使用权。现将有关事项公告如下：</w:t>
      </w:r>
    </w:p>
    <w:p>
      <w:pPr>
        <w:keepNext w:val="0"/>
        <w:keepLines w:val="0"/>
        <w:pageBreakBefore w:val="0"/>
        <w:numPr>
          <w:ilvl w:val="0"/>
          <w:numId w:val="1"/>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网上挂牌出让地块基本情况及规划指标要求（见附表）</w:t>
      </w:r>
    </w:p>
    <w:p>
      <w:pPr>
        <w:keepNext w:val="0"/>
        <w:keepLines w:val="0"/>
        <w:pageBreakBefore w:val="0"/>
        <w:numPr>
          <w:ilvl w:val="0"/>
          <w:numId w:val="1"/>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挂牌起始价及加价幅度</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挂牌起始价为人民币</w:t>
      </w:r>
      <w:r>
        <w:rPr>
          <w:rFonts w:hint="eastAsia" w:ascii="仿宋" w:hAnsi="仿宋" w:eastAsia="仿宋" w:cs="仿宋"/>
          <w:color w:val="auto"/>
          <w:kern w:val="2"/>
          <w:sz w:val="32"/>
          <w:szCs w:val="32"/>
          <w:lang w:val="en-US" w:eastAsia="zh-CN"/>
        </w:rPr>
        <w:t>1200</w:t>
      </w:r>
      <w:r>
        <w:rPr>
          <w:rFonts w:hint="eastAsia" w:ascii="仿宋" w:hAnsi="仿宋" w:eastAsia="仿宋" w:cs="仿宋"/>
          <w:b w:val="0"/>
          <w:bCs w:val="0"/>
          <w:color w:val="auto"/>
          <w:sz w:val="32"/>
          <w:szCs w:val="32"/>
        </w:rPr>
        <w:t>万元</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每次报价加价幅度为人民币</w:t>
      </w:r>
      <w:r>
        <w:rPr>
          <w:rFonts w:hint="eastAsia" w:ascii="仿宋" w:hAnsi="仿宋" w:eastAsia="仿宋" w:cs="仿宋"/>
          <w:b w:val="0"/>
          <w:bCs w:val="0"/>
          <w:color w:val="auto"/>
          <w:sz w:val="32"/>
          <w:szCs w:val="32"/>
          <w:u w:val="none"/>
          <w:lang w:val="en-US" w:eastAsia="zh-CN"/>
        </w:rPr>
        <w:t>50</w:t>
      </w:r>
      <w:r>
        <w:rPr>
          <w:rFonts w:hint="eastAsia" w:ascii="仿宋" w:hAnsi="仿宋" w:eastAsia="仿宋" w:cs="仿宋"/>
          <w:b w:val="0"/>
          <w:bCs w:val="0"/>
          <w:color w:val="auto"/>
          <w:sz w:val="32"/>
          <w:szCs w:val="32"/>
        </w:rPr>
        <w:t>万元的整数倍。</w:t>
      </w:r>
    </w:p>
    <w:p>
      <w:pPr>
        <w:keepNext w:val="0"/>
        <w:keepLines w:val="0"/>
        <w:pageBreakBefore w:val="0"/>
        <w:numPr>
          <w:ilvl w:val="0"/>
          <w:numId w:val="1"/>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时间安排</w:t>
      </w:r>
    </w:p>
    <w:p>
      <w:pPr>
        <w:pStyle w:val="3"/>
        <w:keepNext w:val="0"/>
        <w:keepLines w:val="0"/>
        <w:pageBreakBefore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 w:hAnsi="仿宋" w:eastAsia="仿宋" w:cs="仿宋"/>
          <w:b w:val="0"/>
          <w:bCs w:val="0"/>
          <w:color w:val="auto"/>
          <w:sz w:val="32"/>
          <w:szCs w:val="32"/>
          <w:u w:val="none"/>
          <w:lang w:eastAsia="zh-CN"/>
        </w:rPr>
      </w:pPr>
      <w:r>
        <w:rPr>
          <w:rFonts w:hint="eastAsia" w:ascii="仿宋" w:hAnsi="仿宋" w:eastAsia="仿宋" w:cs="仿宋"/>
          <w:b w:val="0"/>
          <w:bCs w:val="0"/>
          <w:color w:val="auto"/>
          <w:sz w:val="32"/>
          <w:szCs w:val="32"/>
          <w:u w:val="none"/>
          <w:lang w:eastAsia="zh-CN"/>
        </w:rPr>
        <w:t>（</w:t>
      </w:r>
      <w:r>
        <w:rPr>
          <w:rFonts w:hint="eastAsia" w:ascii="仿宋" w:hAnsi="仿宋" w:eastAsia="仿宋" w:cs="仿宋"/>
          <w:b w:val="0"/>
          <w:bCs w:val="0"/>
          <w:color w:val="auto"/>
          <w:sz w:val="32"/>
          <w:szCs w:val="32"/>
          <w:u w:val="none"/>
          <w:lang w:val="en-US" w:eastAsia="zh-CN"/>
        </w:rPr>
        <w:t>一</w:t>
      </w:r>
      <w:r>
        <w:rPr>
          <w:rFonts w:hint="eastAsia" w:ascii="仿宋" w:hAnsi="仿宋" w:eastAsia="仿宋" w:cs="仿宋"/>
          <w:b w:val="0"/>
          <w:bCs w:val="0"/>
          <w:color w:val="auto"/>
          <w:sz w:val="32"/>
          <w:szCs w:val="32"/>
          <w:u w:val="none"/>
          <w:lang w:eastAsia="zh-CN"/>
        </w:rPr>
        <w:t>）</w:t>
      </w:r>
      <w:r>
        <w:rPr>
          <w:rFonts w:hint="eastAsia" w:ascii="仿宋" w:hAnsi="仿宋" w:eastAsia="仿宋" w:cs="仿宋"/>
          <w:b w:val="0"/>
          <w:bCs w:val="0"/>
          <w:color w:val="auto"/>
          <w:sz w:val="32"/>
          <w:szCs w:val="32"/>
          <w:u w:val="none"/>
        </w:rPr>
        <w:t>公告时间：</w:t>
      </w:r>
      <w:r>
        <w:rPr>
          <w:rFonts w:hint="eastAsia" w:ascii="仿宋" w:hAnsi="仿宋" w:eastAsia="仿宋" w:cs="仿宋"/>
          <w:b w:val="0"/>
          <w:bCs w:val="0"/>
          <w:color w:val="auto"/>
          <w:sz w:val="32"/>
          <w:szCs w:val="32"/>
          <w:u w:val="none"/>
          <w:lang w:val="en-US" w:eastAsia="zh-CN"/>
        </w:rPr>
        <w:t>2022</w:t>
      </w:r>
      <w:r>
        <w:rPr>
          <w:rFonts w:hint="eastAsia" w:ascii="仿宋" w:hAnsi="仿宋" w:eastAsia="仿宋" w:cs="仿宋"/>
          <w:b w:val="0"/>
          <w:bCs w:val="0"/>
          <w:color w:val="auto"/>
          <w:sz w:val="32"/>
          <w:szCs w:val="32"/>
          <w:u w:val="none"/>
        </w:rPr>
        <w:t>年</w:t>
      </w:r>
      <w:r>
        <w:rPr>
          <w:rFonts w:hint="eastAsia" w:ascii="仿宋" w:hAnsi="仿宋" w:eastAsia="仿宋" w:cs="仿宋"/>
          <w:b w:val="0"/>
          <w:bCs w:val="0"/>
          <w:color w:val="auto"/>
          <w:sz w:val="32"/>
          <w:szCs w:val="32"/>
          <w:u w:val="none"/>
          <w:lang w:val="en-US" w:eastAsia="zh-CN"/>
        </w:rPr>
        <w:t>10</w:t>
      </w:r>
      <w:r>
        <w:rPr>
          <w:rFonts w:hint="eastAsia" w:ascii="仿宋" w:hAnsi="仿宋" w:eastAsia="仿宋" w:cs="仿宋"/>
          <w:b w:val="0"/>
          <w:bCs w:val="0"/>
          <w:color w:val="auto"/>
          <w:sz w:val="32"/>
          <w:szCs w:val="32"/>
          <w:u w:val="none"/>
        </w:rPr>
        <w:t>月</w:t>
      </w:r>
      <w:r>
        <w:rPr>
          <w:rFonts w:hint="eastAsia" w:ascii="仿宋" w:hAnsi="仿宋" w:eastAsia="仿宋" w:cs="仿宋"/>
          <w:b w:val="0"/>
          <w:bCs w:val="0"/>
          <w:color w:val="auto"/>
          <w:sz w:val="32"/>
          <w:szCs w:val="32"/>
          <w:u w:val="none"/>
          <w:lang w:val="en-US" w:eastAsia="zh-CN"/>
        </w:rPr>
        <w:t>21</w:t>
      </w:r>
      <w:r>
        <w:rPr>
          <w:rFonts w:hint="eastAsia" w:ascii="仿宋" w:hAnsi="仿宋" w:eastAsia="仿宋" w:cs="仿宋"/>
          <w:b w:val="0"/>
          <w:bCs w:val="0"/>
          <w:color w:val="auto"/>
          <w:sz w:val="32"/>
          <w:szCs w:val="32"/>
          <w:u w:val="none"/>
        </w:rPr>
        <w:t>日至</w:t>
      </w:r>
      <w:r>
        <w:rPr>
          <w:rFonts w:hint="eastAsia" w:ascii="仿宋" w:hAnsi="仿宋" w:eastAsia="仿宋" w:cs="仿宋"/>
          <w:b w:val="0"/>
          <w:bCs w:val="0"/>
          <w:color w:val="auto"/>
          <w:sz w:val="32"/>
          <w:szCs w:val="32"/>
          <w:u w:val="none"/>
          <w:lang w:val="en-US" w:eastAsia="zh-CN"/>
        </w:rPr>
        <w:t>2022</w:t>
      </w:r>
      <w:r>
        <w:rPr>
          <w:rFonts w:hint="eastAsia" w:ascii="仿宋" w:hAnsi="仿宋" w:eastAsia="仿宋" w:cs="仿宋"/>
          <w:b w:val="0"/>
          <w:bCs w:val="0"/>
          <w:color w:val="auto"/>
          <w:sz w:val="32"/>
          <w:szCs w:val="32"/>
          <w:u w:val="none"/>
        </w:rPr>
        <w:t>年</w:t>
      </w:r>
      <w:r>
        <w:rPr>
          <w:rFonts w:hint="eastAsia" w:ascii="仿宋" w:hAnsi="仿宋" w:eastAsia="仿宋" w:cs="仿宋"/>
          <w:b w:val="0"/>
          <w:bCs w:val="0"/>
          <w:color w:val="auto"/>
          <w:sz w:val="32"/>
          <w:szCs w:val="32"/>
          <w:u w:val="none"/>
          <w:lang w:val="en-US" w:eastAsia="zh-CN"/>
        </w:rPr>
        <w:t>11</w:t>
      </w:r>
      <w:r>
        <w:rPr>
          <w:rFonts w:hint="eastAsia" w:ascii="仿宋" w:hAnsi="仿宋" w:eastAsia="仿宋" w:cs="仿宋"/>
          <w:b w:val="0"/>
          <w:bCs w:val="0"/>
          <w:color w:val="auto"/>
          <w:sz w:val="32"/>
          <w:szCs w:val="32"/>
          <w:u w:val="none"/>
        </w:rPr>
        <w:t>月</w:t>
      </w:r>
      <w:r>
        <w:rPr>
          <w:rFonts w:hint="eastAsia" w:ascii="仿宋" w:hAnsi="仿宋" w:eastAsia="仿宋" w:cs="仿宋"/>
          <w:b w:val="0"/>
          <w:bCs w:val="0"/>
          <w:color w:val="auto"/>
          <w:sz w:val="32"/>
          <w:szCs w:val="32"/>
          <w:u w:val="none"/>
          <w:lang w:val="en-US" w:eastAsia="zh-CN"/>
        </w:rPr>
        <w:t>9</w:t>
      </w:r>
      <w:r>
        <w:rPr>
          <w:rFonts w:hint="eastAsia" w:ascii="仿宋" w:hAnsi="仿宋" w:eastAsia="仿宋" w:cs="仿宋"/>
          <w:b w:val="0"/>
          <w:bCs w:val="0"/>
          <w:color w:val="auto"/>
          <w:sz w:val="32"/>
          <w:szCs w:val="32"/>
          <w:u w:val="none"/>
        </w:rPr>
        <w:t>日</w:t>
      </w:r>
      <w:r>
        <w:rPr>
          <w:rFonts w:hint="eastAsia" w:ascii="仿宋" w:hAnsi="仿宋" w:eastAsia="仿宋" w:cs="仿宋"/>
          <w:b w:val="0"/>
          <w:bCs w:val="0"/>
          <w:color w:val="auto"/>
          <w:sz w:val="32"/>
          <w:szCs w:val="32"/>
          <w:u w:val="none"/>
          <w:lang w:eastAsia="zh-CN"/>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u w:val="none"/>
          <w:lang w:eastAsia="zh-CN"/>
        </w:rPr>
      </w:pPr>
      <w:r>
        <w:rPr>
          <w:rFonts w:hint="eastAsia" w:ascii="仿宋" w:hAnsi="仿宋" w:eastAsia="仿宋" w:cs="仿宋"/>
          <w:b w:val="0"/>
          <w:bCs w:val="0"/>
          <w:color w:val="auto"/>
          <w:sz w:val="32"/>
          <w:szCs w:val="32"/>
          <w:u w:val="none"/>
          <w:lang w:eastAsia="zh-CN"/>
        </w:rPr>
        <w:t>（</w:t>
      </w:r>
      <w:r>
        <w:rPr>
          <w:rFonts w:hint="eastAsia" w:ascii="仿宋" w:hAnsi="仿宋" w:eastAsia="仿宋" w:cs="仿宋"/>
          <w:b w:val="0"/>
          <w:bCs w:val="0"/>
          <w:color w:val="auto"/>
          <w:sz w:val="32"/>
          <w:szCs w:val="32"/>
          <w:u w:val="none"/>
          <w:lang w:val="en-US" w:eastAsia="zh-CN"/>
        </w:rPr>
        <w:t>二</w:t>
      </w:r>
      <w:r>
        <w:rPr>
          <w:rFonts w:hint="eastAsia" w:ascii="仿宋" w:hAnsi="仿宋" w:eastAsia="仿宋" w:cs="仿宋"/>
          <w:b w:val="0"/>
          <w:bCs w:val="0"/>
          <w:color w:val="auto"/>
          <w:sz w:val="32"/>
          <w:szCs w:val="32"/>
          <w:u w:val="none"/>
          <w:lang w:eastAsia="zh-CN"/>
        </w:rPr>
        <w:t>）</w:t>
      </w:r>
      <w:r>
        <w:rPr>
          <w:rFonts w:hint="eastAsia" w:ascii="仿宋" w:hAnsi="仿宋" w:eastAsia="仿宋" w:cs="仿宋"/>
          <w:b w:val="0"/>
          <w:bCs w:val="0"/>
          <w:color w:val="auto"/>
          <w:sz w:val="32"/>
          <w:szCs w:val="32"/>
          <w:u w:val="none"/>
        </w:rPr>
        <w:t>网上挂牌竞买时间：</w:t>
      </w:r>
      <w:r>
        <w:rPr>
          <w:rFonts w:hint="eastAsia" w:ascii="仿宋" w:hAnsi="仿宋" w:eastAsia="仿宋" w:cs="仿宋"/>
          <w:b w:val="0"/>
          <w:bCs w:val="0"/>
          <w:color w:val="auto"/>
          <w:sz w:val="32"/>
          <w:szCs w:val="32"/>
          <w:u w:val="none"/>
          <w:lang w:val="en-US" w:eastAsia="zh-CN"/>
        </w:rPr>
        <w:t>2022</w:t>
      </w:r>
      <w:r>
        <w:rPr>
          <w:rFonts w:hint="eastAsia" w:ascii="仿宋" w:hAnsi="仿宋" w:eastAsia="仿宋" w:cs="仿宋"/>
          <w:b w:val="0"/>
          <w:bCs w:val="0"/>
          <w:color w:val="auto"/>
          <w:sz w:val="32"/>
          <w:szCs w:val="32"/>
          <w:u w:val="none"/>
        </w:rPr>
        <w:t>年</w:t>
      </w:r>
      <w:r>
        <w:rPr>
          <w:rFonts w:hint="eastAsia" w:ascii="仿宋" w:hAnsi="仿宋" w:eastAsia="仿宋" w:cs="仿宋"/>
          <w:b w:val="0"/>
          <w:bCs w:val="0"/>
          <w:color w:val="auto"/>
          <w:sz w:val="32"/>
          <w:szCs w:val="32"/>
          <w:u w:val="none"/>
          <w:lang w:val="en-US" w:eastAsia="zh-CN"/>
        </w:rPr>
        <w:t>11</w:t>
      </w:r>
      <w:r>
        <w:rPr>
          <w:rFonts w:hint="eastAsia" w:ascii="仿宋" w:hAnsi="仿宋" w:eastAsia="仿宋" w:cs="仿宋"/>
          <w:b w:val="0"/>
          <w:bCs w:val="0"/>
          <w:color w:val="auto"/>
          <w:sz w:val="32"/>
          <w:szCs w:val="32"/>
          <w:u w:val="none"/>
        </w:rPr>
        <w:t>月</w:t>
      </w:r>
      <w:r>
        <w:rPr>
          <w:rFonts w:hint="eastAsia" w:ascii="仿宋" w:hAnsi="仿宋" w:eastAsia="仿宋" w:cs="仿宋"/>
          <w:b w:val="0"/>
          <w:bCs w:val="0"/>
          <w:color w:val="auto"/>
          <w:sz w:val="32"/>
          <w:szCs w:val="32"/>
          <w:u w:val="none"/>
          <w:lang w:val="en-US" w:eastAsia="zh-CN"/>
        </w:rPr>
        <w:t>10</w:t>
      </w:r>
      <w:r>
        <w:rPr>
          <w:rFonts w:hint="eastAsia" w:ascii="仿宋" w:hAnsi="仿宋" w:eastAsia="仿宋" w:cs="仿宋"/>
          <w:b w:val="0"/>
          <w:bCs w:val="0"/>
          <w:color w:val="auto"/>
          <w:sz w:val="32"/>
          <w:szCs w:val="32"/>
          <w:u w:val="none"/>
        </w:rPr>
        <w:t>日</w:t>
      </w:r>
      <w:r>
        <w:rPr>
          <w:rFonts w:hint="eastAsia" w:ascii="仿宋" w:hAnsi="仿宋" w:eastAsia="仿宋" w:cs="仿宋"/>
          <w:b w:val="0"/>
          <w:bCs w:val="0"/>
          <w:color w:val="auto"/>
          <w:sz w:val="32"/>
          <w:szCs w:val="32"/>
          <w:u w:val="none"/>
          <w:lang w:val="en-US" w:eastAsia="zh-CN"/>
        </w:rPr>
        <w:t>9</w:t>
      </w:r>
      <w:r>
        <w:rPr>
          <w:rFonts w:hint="eastAsia" w:ascii="仿宋" w:hAnsi="仿宋" w:eastAsia="仿宋" w:cs="仿宋"/>
          <w:b w:val="0"/>
          <w:bCs w:val="0"/>
          <w:color w:val="auto"/>
          <w:sz w:val="32"/>
          <w:szCs w:val="32"/>
          <w:u w:val="none"/>
        </w:rPr>
        <w:t>时至</w:t>
      </w:r>
      <w:r>
        <w:rPr>
          <w:rFonts w:hint="eastAsia" w:ascii="仿宋" w:hAnsi="仿宋" w:eastAsia="仿宋" w:cs="仿宋"/>
          <w:b w:val="0"/>
          <w:bCs w:val="0"/>
          <w:color w:val="auto"/>
          <w:sz w:val="32"/>
          <w:szCs w:val="32"/>
          <w:u w:val="none"/>
          <w:lang w:val="en-US" w:eastAsia="zh-CN"/>
        </w:rPr>
        <w:t>2022 年11</w:t>
      </w:r>
      <w:r>
        <w:rPr>
          <w:rFonts w:hint="eastAsia" w:ascii="仿宋" w:hAnsi="仿宋" w:eastAsia="仿宋" w:cs="仿宋"/>
          <w:b w:val="0"/>
          <w:bCs w:val="0"/>
          <w:color w:val="auto"/>
          <w:sz w:val="32"/>
          <w:szCs w:val="32"/>
          <w:u w:val="none"/>
        </w:rPr>
        <w:t>月</w:t>
      </w:r>
      <w:r>
        <w:rPr>
          <w:rFonts w:hint="eastAsia" w:ascii="仿宋" w:hAnsi="仿宋" w:eastAsia="仿宋" w:cs="仿宋"/>
          <w:b w:val="0"/>
          <w:bCs w:val="0"/>
          <w:color w:val="auto"/>
          <w:sz w:val="32"/>
          <w:szCs w:val="32"/>
          <w:u w:val="none"/>
          <w:lang w:val="en-US" w:eastAsia="zh-CN"/>
        </w:rPr>
        <w:t>24</w:t>
      </w:r>
      <w:r>
        <w:rPr>
          <w:rFonts w:hint="eastAsia" w:ascii="仿宋" w:hAnsi="仿宋" w:eastAsia="仿宋" w:cs="仿宋"/>
          <w:b w:val="0"/>
          <w:bCs w:val="0"/>
          <w:color w:val="auto"/>
          <w:sz w:val="32"/>
          <w:szCs w:val="32"/>
          <w:u w:val="none"/>
        </w:rPr>
        <w:t>日</w:t>
      </w:r>
      <w:r>
        <w:rPr>
          <w:rFonts w:hint="eastAsia" w:ascii="仿宋" w:hAnsi="仿宋" w:eastAsia="仿宋" w:cs="仿宋"/>
          <w:b w:val="0"/>
          <w:bCs w:val="0"/>
          <w:color w:val="auto"/>
          <w:sz w:val="32"/>
          <w:szCs w:val="32"/>
          <w:u w:val="none"/>
          <w:lang w:val="en-US" w:eastAsia="zh-CN"/>
        </w:rPr>
        <w:t>10</w:t>
      </w:r>
      <w:r>
        <w:rPr>
          <w:rFonts w:hint="eastAsia" w:ascii="仿宋" w:hAnsi="仿宋" w:eastAsia="仿宋" w:cs="仿宋"/>
          <w:b w:val="0"/>
          <w:bCs w:val="0"/>
          <w:color w:val="auto"/>
          <w:sz w:val="32"/>
          <w:szCs w:val="32"/>
          <w:u w:val="none"/>
        </w:rPr>
        <w:t>时</w:t>
      </w:r>
      <w:r>
        <w:rPr>
          <w:rFonts w:hint="eastAsia" w:ascii="仿宋" w:hAnsi="仿宋" w:eastAsia="仿宋" w:cs="仿宋"/>
          <w:b w:val="0"/>
          <w:bCs w:val="0"/>
          <w:color w:val="auto"/>
          <w:sz w:val="32"/>
          <w:szCs w:val="32"/>
          <w:u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color w:val="auto"/>
          <w:sz w:val="32"/>
          <w:szCs w:val="32"/>
          <w:u w:val="none"/>
        </w:rPr>
      </w:pPr>
      <w:r>
        <w:rPr>
          <w:rFonts w:hint="eastAsia" w:ascii="仿宋" w:hAnsi="仿宋" w:eastAsia="仿宋" w:cs="仿宋"/>
          <w:b w:val="0"/>
          <w:bCs w:val="0"/>
          <w:color w:val="auto"/>
          <w:sz w:val="32"/>
          <w:szCs w:val="32"/>
          <w:u w:val="none"/>
          <w:lang w:eastAsia="zh-CN"/>
        </w:rPr>
        <w:t>（</w:t>
      </w:r>
      <w:r>
        <w:rPr>
          <w:rFonts w:hint="eastAsia" w:ascii="仿宋" w:hAnsi="仿宋" w:eastAsia="仿宋" w:cs="仿宋"/>
          <w:b w:val="0"/>
          <w:bCs w:val="0"/>
          <w:color w:val="auto"/>
          <w:sz w:val="32"/>
          <w:szCs w:val="32"/>
          <w:u w:val="none"/>
          <w:lang w:val="en-US" w:eastAsia="zh-CN"/>
        </w:rPr>
        <w:t>三</w:t>
      </w:r>
      <w:r>
        <w:rPr>
          <w:rFonts w:hint="eastAsia" w:ascii="仿宋" w:hAnsi="仿宋" w:eastAsia="仿宋" w:cs="仿宋"/>
          <w:b w:val="0"/>
          <w:bCs w:val="0"/>
          <w:color w:val="auto"/>
          <w:sz w:val="32"/>
          <w:szCs w:val="32"/>
          <w:u w:val="none"/>
          <w:lang w:eastAsia="zh-CN"/>
        </w:rPr>
        <w:t>）</w:t>
      </w:r>
      <w:r>
        <w:rPr>
          <w:rFonts w:hint="eastAsia" w:ascii="仿宋" w:hAnsi="仿宋" w:eastAsia="仿宋" w:cs="仿宋"/>
          <w:b w:val="0"/>
          <w:bCs w:val="0"/>
          <w:color w:val="auto"/>
          <w:sz w:val="32"/>
          <w:szCs w:val="32"/>
          <w:u w:val="none"/>
        </w:rPr>
        <w:t>竞买保证金到账截止时间为：</w:t>
      </w:r>
      <w:r>
        <w:rPr>
          <w:rFonts w:hint="eastAsia" w:ascii="仿宋" w:hAnsi="仿宋" w:eastAsia="仿宋" w:cs="仿宋"/>
          <w:b w:val="0"/>
          <w:bCs w:val="0"/>
          <w:color w:val="auto"/>
          <w:sz w:val="32"/>
          <w:szCs w:val="32"/>
          <w:u w:val="none"/>
          <w:lang w:val="en-US" w:eastAsia="zh-CN"/>
        </w:rPr>
        <w:t>2022</w:t>
      </w:r>
      <w:r>
        <w:rPr>
          <w:rFonts w:hint="eastAsia" w:ascii="仿宋" w:hAnsi="仿宋" w:eastAsia="仿宋" w:cs="仿宋"/>
          <w:b w:val="0"/>
          <w:bCs w:val="0"/>
          <w:color w:val="auto"/>
          <w:sz w:val="32"/>
          <w:szCs w:val="32"/>
          <w:u w:val="none"/>
        </w:rPr>
        <w:t>年</w:t>
      </w:r>
      <w:r>
        <w:rPr>
          <w:rFonts w:hint="eastAsia" w:ascii="仿宋" w:hAnsi="仿宋" w:eastAsia="仿宋" w:cs="仿宋"/>
          <w:b w:val="0"/>
          <w:bCs w:val="0"/>
          <w:color w:val="auto"/>
          <w:sz w:val="32"/>
          <w:szCs w:val="32"/>
          <w:u w:val="none"/>
          <w:lang w:val="en-US" w:eastAsia="zh-CN"/>
        </w:rPr>
        <w:t>11</w:t>
      </w:r>
      <w:r>
        <w:rPr>
          <w:rFonts w:hint="eastAsia" w:ascii="仿宋" w:hAnsi="仿宋" w:eastAsia="仿宋" w:cs="仿宋"/>
          <w:b w:val="0"/>
          <w:bCs w:val="0"/>
          <w:color w:val="auto"/>
          <w:sz w:val="32"/>
          <w:szCs w:val="32"/>
          <w:u w:val="none"/>
        </w:rPr>
        <w:t>月</w:t>
      </w:r>
      <w:r>
        <w:rPr>
          <w:rFonts w:hint="eastAsia" w:ascii="仿宋" w:hAnsi="仿宋" w:eastAsia="仿宋" w:cs="仿宋"/>
          <w:b w:val="0"/>
          <w:bCs w:val="0"/>
          <w:color w:val="auto"/>
          <w:sz w:val="32"/>
          <w:szCs w:val="32"/>
          <w:u w:val="none"/>
          <w:lang w:val="en-US" w:eastAsia="zh-CN"/>
        </w:rPr>
        <w:t xml:space="preserve">                          24</w:t>
      </w:r>
      <w:r>
        <w:rPr>
          <w:rFonts w:hint="eastAsia" w:ascii="仿宋" w:hAnsi="仿宋" w:eastAsia="仿宋" w:cs="仿宋"/>
          <w:b w:val="0"/>
          <w:bCs w:val="0"/>
          <w:color w:val="auto"/>
          <w:sz w:val="32"/>
          <w:szCs w:val="32"/>
          <w:u w:val="none"/>
        </w:rPr>
        <w:t>日</w:t>
      </w:r>
      <w:r>
        <w:rPr>
          <w:rFonts w:hint="eastAsia" w:ascii="仿宋" w:hAnsi="仿宋" w:eastAsia="仿宋" w:cs="仿宋"/>
          <w:b w:val="0"/>
          <w:bCs w:val="0"/>
          <w:color w:val="auto"/>
          <w:sz w:val="32"/>
          <w:szCs w:val="32"/>
          <w:u w:val="none"/>
          <w:lang w:val="en-US" w:eastAsia="zh-CN"/>
        </w:rPr>
        <w:t>9</w:t>
      </w:r>
      <w:r>
        <w:rPr>
          <w:rFonts w:hint="eastAsia" w:ascii="仿宋" w:hAnsi="仿宋" w:eastAsia="仿宋" w:cs="仿宋"/>
          <w:b w:val="0"/>
          <w:bCs w:val="0"/>
          <w:color w:val="auto"/>
          <w:sz w:val="32"/>
          <w:szCs w:val="32"/>
          <w:u w:val="none"/>
        </w:rPr>
        <w:t>时。</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四、竞买资格及要求</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中华人民共和国境内外的法人</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自然人</w:t>
      </w:r>
      <w:r>
        <w:rPr>
          <w:rFonts w:hint="eastAsia" w:ascii="仿宋" w:hAnsi="仿宋" w:eastAsia="仿宋" w:cs="仿宋"/>
          <w:b w:val="0"/>
          <w:bCs w:val="0"/>
          <w:color w:val="auto"/>
          <w:sz w:val="32"/>
          <w:szCs w:val="32"/>
        </w:rPr>
        <w:t>和其他</w:t>
      </w:r>
      <w:r>
        <w:rPr>
          <w:rFonts w:hint="eastAsia" w:ascii="仿宋" w:hAnsi="仿宋" w:eastAsia="仿宋" w:cs="仿宋"/>
          <w:b w:val="0"/>
          <w:bCs w:val="0"/>
          <w:color w:val="auto"/>
          <w:sz w:val="32"/>
          <w:szCs w:val="32"/>
          <w:lang w:val="en-US" w:eastAsia="zh-CN"/>
        </w:rPr>
        <w:t>经济</w:t>
      </w:r>
      <w:r>
        <w:rPr>
          <w:rFonts w:hint="eastAsia" w:ascii="仿宋" w:hAnsi="仿宋" w:eastAsia="仿宋" w:cs="仿宋"/>
          <w:b w:val="0"/>
          <w:bCs w:val="0"/>
          <w:color w:val="auto"/>
          <w:sz w:val="32"/>
          <w:szCs w:val="32"/>
        </w:rPr>
        <w:t>组织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除法律法规另有规定外</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符合竞买资格的，</w:t>
      </w:r>
      <w:r>
        <w:rPr>
          <w:rFonts w:hint="eastAsia" w:ascii="仿宋" w:hAnsi="仿宋" w:eastAsia="仿宋" w:cs="仿宋"/>
          <w:b w:val="0"/>
          <w:bCs w:val="0"/>
          <w:color w:val="auto"/>
          <w:sz w:val="32"/>
          <w:szCs w:val="32"/>
        </w:rPr>
        <w:t>均可通过网上挂牌交易系统，申请参加电子挂牌交易活动，法律、法规另有规定的从其规定。</w:t>
      </w:r>
    </w:p>
    <w:p>
      <w:pPr>
        <w:keepNext w:val="0"/>
        <w:keepLines w:val="0"/>
        <w:pageBreakBefore w:val="0"/>
        <w:numPr>
          <w:ilvl w:val="0"/>
          <w:numId w:val="2"/>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交纳足额竞买保证金；</w:t>
      </w:r>
    </w:p>
    <w:p>
      <w:pPr>
        <w:keepNext w:val="0"/>
        <w:keepLines w:val="0"/>
        <w:pageBreakBefore w:val="0"/>
        <w:numPr>
          <w:ilvl w:val="0"/>
          <w:numId w:val="2"/>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存在下列行为之一的企业及其控股股东，不得参与竞买上述地块：</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1、存在伪造公文骗取用地和非法倒卖土地等犯罪行为的；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2、存在非法转让土地使用权等违法行为的；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3、因企业原因造成土地闲置一年以上且至报名日止未处罚完结的；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4、开发建设企业有违背出让合同约定条件开发利用土地情形且至报名日止未处罚完结的；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5、至报名日止仍拖欠政府地价款的;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6、被列入问题楼盘开发企业黑名单的;</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7、存在其它被禁止竞买土地行为的。</w:t>
      </w:r>
    </w:p>
    <w:p>
      <w:pPr>
        <w:keepNext w:val="0"/>
        <w:keepLines w:val="0"/>
        <w:pageBreakBefore w:val="0"/>
        <w:kinsoku/>
        <w:wordWrap/>
        <w:overflowPunct/>
        <w:topLinePunct w:val="0"/>
        <w:autoSpaceDE/>
        <w:autoSpaceDN/>
        <w:bidi w:val="0"/>
        <w:adjustRightInd/>
        <w:snapToGrid/>
        <w:spacing w:line="240" w:lineRule="auto"/>
        <w:ind w:firstLine="630" w:firstLineChars="196"/>
        <w:textAlignment w:val="auto"/>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五、竞买保证金</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（一）该宗地竞买保证金为人民币360</w:t>
      </w:r>
      <w:r>
        <w:rPr>
          <w:rFonts w:hint="eastAsia" w:ascii="仿宋" w:hAnsi="仿宋" w:eastAsia="仿宋" w:cs="仿宋"/>
          <w:color w:val="auto"/>
          <w:kern w:val="2"/>
          <w:sz w:val="32"/>
          <w:szCs w:val="32"/>
          <w:lang w:val="en-US" w:eastAsia="zh-CN" w:bidi="ar-SA"/>
        </w:rPr>
        <w:t>万元。</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该宗地竞买保证金亦可用外币（暂限于美元、港币）交纳。如以外币交纳竞买保证金的，须交纳美元51</w:t>
      </w:r>
      <w:r>
        <w:rPr>
          <w:rFonts w:hint="eastAsia" w:ascii="仿宋" w:hAnsi="仿宋" w:eastAsia="仿宋" w:cs="仿宋"/>
          <w:color w:val="auto"/>
          <w:kern w:val="2"/>
          <w:sz w:val="32"/>
          <w:szCs w:val="32"/>
          <w:lang w:val="en-US" w:eastAsia="zh-CN" w:bidi="ar-SA"/>
        </w:rPr>
        <w:t>万元或港币398</w:t>
      </w:r>
      <w:r>
        <w:rPr>
          <w:rFonts w:hint="eastAsia" w:ascii="仿宋" w:hAnsi="仿宋" w:eastAsia="仿宋" w:cs="仿宋"/>
          <w:color w:val="auto"/>
          <w:kern w:val="2"/>
          <w:sz w:val="32"/>
          <w:szCs w:val="32"/>
          <w:lang w:val="en-US" w:eastAsia="zh-CN" w:bidi="ar-SA"/>
        </w:rPr>
        <w:t>万元。</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申请人应当在网上挂牌出让竞买保证金到账截止时间前登录惠州市公共资源交易</w:t>
      </w:r>
      <w:r>
        <w:rPr>
          <w:rFonts w:hint="eastAsia" w:ascii="仿宋" w:hAnsi="仿宋" w:eastAsia="仿宋" w:cs="仿宋"/>
          <w:b w:val="0"/>
          <w:bCs w:val="0"/>
          <w:color w:val="auto"/>
          <w:kern w:val="2"/>
          <w:sz w:val="32"/>
          <w:szCs w:val="32"/>
          <w:lang w:val="en-US" w:eastAsia="zh-CN" w:bidi="ar-SA"/>
        </w:rPr>
        <w:t>中心（以下简称“交易中心”）土地与矿业网上挂牌交易系统（以下简称“网上挂牌交易系统”）获取竞买保证金支付账号。</w:t>
      </w:r>
    </w:p>
    <w:p>
      <w:pPr>
        <w:keepNext w:val="0"/>
        <w:keepLines w:val="0"/>
        <w:pageBreakBefore w:val="0"/>
        <w:numPr>
          <w:ilvl w:val="0"/>
          <w:numId w:val="3"/>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kern w:val="2"/>
          <w:sz w:val="32"/>
          <w:szCs w:val="32"/>
          <w:lang w:val="en-US" w:eastAsia="zh-CN" w:bidi="ar-SA"/>
        </w:rPr>
        <w:t>竞买保证金到账时间以网上挂牌交</w:t>
      </w:r>
      <w:r>
        <w:rPr>
          <w:rFonts w:hint="eastAsia" w:ascii="仿宋" w:hAnsi="仿宋" w:eastAsia="仿宋" w:cs="仿宋"/>
          <w:b w:val="0"/>
          <w:bCs w:val="0"/>
          <w:color w:val="auto"/>
          <w:sz w:val="32"/>
          <w:szCs w:val="32"/>
        </w:rPr>
        <w:t>易系统确认并发出《保证金到账通知书》为准。</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val="0"/>
          <w:bCs w:val="0"/>
          <w:color w:val="auto"/>
          <w:sz w:val="32"/>
          <w:szCs w:val="32"/>
        </w:rPr>
      </w:pPr>
      <w:r>
        <w:rPr>
          <w:rFonts w:hint="eastAsia" w:ascii="仿宋" w:hAnsi="仿宋" w:eastAsia="仿宋" w:cs="仿宋"/>
          <w:b/>
          <w:bCs/>
          <w:color w:val="auto"/>
          <w:sz w:val="32"/>
          <w:szCs w:val="32"/>
          <w:lang w:eastAsia="zh-CN"/>
        </w:rPr>
        <w:t>六、</w:t>
      </w:r>
      <w:r>
        <w:rPr>
          <w:rFonts w:hint="eastAsia" w:ascii="仿宋" w:hAnsi="仿宋" w:eastAsia="仿宋" w:cs="仿宋"/>
          <w:b/>
          <w:bCs/>
          <w:color w:val="auto"/>
          <w:sz w:val="32"/>
          <w:szCs w:val="32"/>
        </w:rPr>
        <w:t>竞买申请</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本宗国有建设用地使用权网上挂牌出让只接受网上竞买申请，即通过网上挂牌交易系统进行，不接受电话、邮寄、书面、电子邮件及口头竞买。凡办理数字证书、按要求足额交纳竞买保证金的申请人，方可参加网上挂牌交易活动。</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可以单独申请，也可以联合申请</w:t>
      </w:r>
      <w:r>
        <w:rPr>
          <w:rFonts w:hint="eastAsia" w:ascii="仿宋" w:hAnsi="仿宋" w:eastAsia="仿宋" w:cs="仿宋"/>
          <w:b w:val="0"/>
          <w:bCs w:val="0"/>
          <w:color w:val="auto"/>
          <w:sz w:val="32"/>
          <w:szCs w:val="32"/>
          <w:lang w:eastAsia="zh-CN"/>
        </w:rPr>
        <w:t>：</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单独申请竞买的，竞买申请人为非本市注册登记的企业，在竞得土地后，必须于2个月内在本市工商行政管理部门注册成立项目开发公司，并以该公司名义办理土地出让与登记发证手续。新成立公司必须是竞得人的全资子公司，即新公司的股东必须100%是竞买申请企业作为法人的股东。根据挂牌出让结果，可先与竞得人签订《出让合同》，在竞得人按约定办理完新公司注册登记手续后，再与新公司签订国有建设用地使用权出让合同补充条款；也可按约定直接与新公司签订《出让合同》。</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b w:val="0"/>
          <w:bCs w:val="0"/>
          <w:color w:val="auto"/>
          <w:sz w:val="32"/>
          <w:szCs w:val="32"/>
          <w:lang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联合申请竞买的，联合竞买人在提交竞买申请材料时，须提交一份联合竞买申请书和协议，协议主要规定联合各方的权利和义务、参与竞买的代表人、联合各方的出资比例等。联合竞买申请人竞得土地后须于2个月内在本市工商行政管理部门按照申请书申报的出资人及出资比例设立新公司。根据挂牌出让结果，可先与竞得人签订《出让合同》，在竞得人按约定办理完新公司注册登记手续后，再与新公司签订国有建设用地使用权出让合同补充条款</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也可按约定直接与新公司签订《出让合同》</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以新公司名义办理土地登记发证手续，不能按联合申请人各自出资比例分割办证。如对联合竞买申请人的开发资质条件有明确要求的，在审查联合竞买申请人资质时，以联合体内资质最低一方的资质确定竞买资格条件。</w:t>
      </w:r>
    </w:p>
    <w:p>
      <w:pPr>
        <w:pStyle w:val="3"/>
        <w:keepNext w:val="0"/>
        <w:keepLines w:val="0"/>
        <w:pageBreakBefore w:val="0"/>
        <w:kinsoku/>
        <w:wordWrap/>
        <w:overflowPunct/>
        <w:topLinePunct w:val="0"/>
        <w:autoSpaceDE/>
        <w:autoSpaceDN/>
        <w:bidi w:val="0"/>
        <w:adjustRightInd/>
        <w:snapToGrid/>
        <w:spacing w:line="240" w:lineRule="auto"/>
        <w:ind w:firstLine="579" w:firstLineChars="181"/>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本宗国有建设用地使用权网上挂牌出让实行竞买资格后置审查。竞买申请人交纳足额竞买保证金即获得竞买报价权限。</w:t>
      </w:r>
    </w:p>
    <w:p>
      <w:pPr>
        <w:pStyle w:val="3"/>
        <w:keepNext w:val="0"/>
        <w:keepLines w:val="0"/>
        <w:pageBreakBefore w:val="0"/>
        <w:kinsoku/>
        <w:wordWrap/>
        <w:overflowPunct/>
        <w:topLinePunct w:val="0"/>
        <w:autoSpaceDE/>
        <w:autoSpaceDN/>
        <w:bidi w:val="0"/>
        <w:adjustRightInd/>
        <w:snapToGrid/>
        <w:spacing w:line="240" w:lineRule="auto"/>
        <w:ind w:firstLine="581" w:firstLineChars="181"/>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七、竞买人电子报价及电子限时竞价</w:t>
      </w:r>
    </w:p>
    <w:p>
      <w:pPr>
        <w:pStyle w:val="3"/>
        <w:keepNext w:val="0"/>
        <w:keepLines w:val="0"/>
        <w:pageBreakBefore w:val="0"/>
        <w:kinsoku/>
        <w:wordWrap/>
        <w:overflowPunct/>
        <w:topLinePunct w:val="0"/>
        <w:autoSpaceDE/>
        <w:autoSpaceDN/>
        <w:bidi w:val="0"/>
        <w:adjustRightInd/>
        <w:snapToGrid/>
        <w:spacing w:line="240" w:lineRule="auto"/>
        <w:ind w:firstLine="579" w:firstLineChars="181"/>
        <w:textAlignment w:val="auto"/>
        <w:rPr>
          <w:rFonts w:hint="eastAsia" w:ascii="仿宋" w:hAnsi="仿宋" w:eastAsia="仿宋" w:cs="仿宋"/>
          <w:b w:val="0"/>
          <w:bCs w:val="0"/>
          <w:color w:val="auto"/>
          <w:kern w:val="0"/>
          <w:sz w:val="32"/>
          <w:szCs w:val="32"/>
        </w:rPr>
      </w:pPr>
      <w:r>
        <w:rPr>
          <w:rFonts w:hint="eastAsia" w:ascii="仿宋" w:hAnsi="仿宋" w:eastAsia="仿宋" w:cs="仿宋"/>
          <w:b w:val="0"/>
          <w:bCs w:val="0"/>
          <w:color w:val="auto"/>
          <w:sz w:val="32"/>
          <w:szCs w:val="32"/>
        </w:rPr>
        <w:t>竞买人须详细阅读本宗地网上挂牌出让公告、竞买须知及网上挂牌交易系统操作指南，熟练操作网上挂牌交易系统，按竞买规则进行电子报价及电子限时竞价。</w:t>
      </w:r>
    </w:p>
    <w:p>
      <w:pPr>
        <w:pStyle w:val="3"/>
        <w:keepNext w:val="0"/>
        <w:keepLines w:val="0"/>
        <w:pageBreakBefore w:val="0"/>
        <w:kinsoku/>
        <w:wordWrap/>
        <w:overflowPunct/>
        <w:topLinePunct w:val="0"/>
        <w:autoSpaceDE/>
        <w:autoSpaceDN/>
        <w:bidi w:val="0"/>
        <w:adjustRightInd/>
        <w:snapToGrid/>
        <w:spacing w:line="240" w:lineRule="auto"/>
        <w:ind w:firstLine="581" w:firstLineChars="181"/>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八、确定成交候选人</w:t>
      </w:r>
    </w:p>
    <w:p>
      <w:pPr>
        <w:pStyle w:val="3"/>
        <w:keepNext w:val="0"/>
        <w:keepLines w:val="0"/>
        <w:pageBreakBefore w:val="0"/>
        <w:kinsoku/>
        <w:wordWrap/>
        <w:overflowPunct/>
        <w:topLinePunct w:val="0"/>
        <w:autoSpaceDE/>
        <w:autoSpaceDN/>
        <w:bidi w:val="0"/>
        <w:adjustRightInd/>
        <w:snapToGrid/>
        <w:spacing w:line="240" w:lineRule="auto"/>
        <w:ind w:firstLine="579" w:firstLineChars="181"/>
        <w:textAlignment w:val="auto"/>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rPr>
        <w:t>本</w:t>
      </w:r>
      <w:r>
        <w:rPr>
          <w:rFonts w:hint="eastAsia" w:ascii="仿宋" w:hAnsi="仿宋" w:eastAsia="仿宋" w:cs="仿宋"/>
          <w:b w:val="0"/>
          <w:bCs w:val="0"/>
          <w:color w:val="auto"/>
          <w:sz w:val="32"/>
          <w:szCs w:val="32"/>
          <w:highlight w:val="none"/>
          <w:lang w:eastAsia="zh-CN"/>
        </w:rPr>
        <w:t>宗</w:t>
      </w:r>
      <w:r>
        <w:rPr>
          <w:rFonts w:hint="eastAsia" w:ascii="仿宋" w:hAnsi="仿宋" w:eastAsia="仿宋" w:cs="仿宋"/>
          <w:b w:val="0"/>
          <w:bCs w:val="0"/>
          <w:color w:val="auto"/>
          <w:sz w:val="32"/>
          <w:szCs w:val="32"/>
          <w:highlight w:val="none"/>
        </w:rPr>
        <w:t>国有建设用地使用权网上挂牌出让为无底价挂牌，</w:t>
      </w:r>
      <w:r>
        <w:rPr>
          <w:rFonts w:hint="eastAsia" w:ascii="仿宋" w:hAnsi="仿宋" w:eastAsia="仿宋" w:cs="仿宋"/>
          <w:b w:val="0"/>
          <w:bCs w:val="0"/>
          <w:color w:val="auto"/>
          <w:sz w:val="32"/>
          <w:szCs w:val="32"/>
          <w:highlight w:val="none"/>
          <w:lang w:val="en-US" w:eastAsia="zh-CN"/>
        </w:rPr>
        <w:t>按照价高者得的原则确定成交候选人。</w:t>
      </w:r>
    </w:p>
    <w:p>
      <w:pPr>
        <w:pStyle w:val="3"/>
        <w:keepNext w:val="0"/>
        <w:keepLines w:val="0"/>
        <w:pageBreakBefore w:val="0"/>
        <w:kinsoku/>
        <w:wordWrap/>
        <w:overflowPunct/>
        <w:topLinePunct w:val="0"/>
        <w:bidi w:val="0"/>
        <w:adjustRightInd/>
        <w:snapToGrid/>
        <w:spacing w:line="240" w:lineRule="auto"/>
        <w:ind w:firstLine="581" w:firstLineChars="181"/>
        <w:textAlignment w:val="auto"/>
        <w:rPr>
          <w:rFonts w:hint="eastAsia" w:ascii="仿宋" w:hAnsi="仿宋" w:eastAsia="仿宋" w:cs="仿宋"/>
          <w:b w:val="0"/>
          <w:bCs w:val="0"/>
          <w:color w:val="auto"/>
          <w:sz w:val="32"/>
          <w:szCs w:val="32"/>
        </w:rPr>
      </w:pPr>
      <w:r>
        <w:rPr>
          <w:rFonts w:hint="eastAsia" w:ascii="仿宋" w:hAnsi="仿宋" w:eastAsia="仿宋" w:cs="仿宋"/>
          <w:b/>
          <w:bCs/>
          <w:color w:val="auto"/>
          <w:sz w:val="32"/>
          <w:szCs w:val="32"/>
        </w:rPr>
        <w:t>九、资格审查</w:t>
      </w:r>
    </w:p>
    <w:p>
      <w:pPr>
        <w:pStyle w:val="3"/>
        <w:keepNext w:val="0"/>
        <w:keepLines w:val="0"/>
        <w:pageBreakBefore w:val="0"/>
        <w:kinsoku/>
        <w:wordWrap/>
        <w:overflowPunct/>
        <w:topLinePunct w:val="0"/>
        <w:bidi w:val="0"/>
        <w:adjustRightInd/>
        <w:snapToGrid/>
        <w:spacing w:line="240" w:lineRule="auto"/>
        <w:ind w:firstLine="579" w:firstLineChars="181"/>
        <w:textAlignment w:val="auto"/>
        <w:rPr>
          <w:rFonts w:hint="eastAsia" w:ascii="仿宋" w:hAnsi="仿宋" w:eastAsia="仿宋" w:cs="仿宋"/>
          <w:b w:val="0"/>
          <w:bCs w:val="0"/>
          <w:color w:val="auto"/>
          <w:sz w:val="32"/>
          <w:szCs w:val="32"/>
          <w:u w:val="none"/>
        </w:rPr>
      </w:pPr>
      <w:r>
        <w:rPr>
          <w:rFonts w:hint="eastAsia" w:ascii="仿宋" w:hAnsi="仿宋" w:eastAsia="仿宋" w:cs="仿宋"/>
          <w:b w:val="0"/>
          <w:bCs w:val="0"/>
          <w:color w:val="auto"/>
          <w:sz w:val="32"/>
          <w:szCs w:val="32"/>
          <w:u w:val="none"/>
        </w:rPr>
        <w:t>成交候选人应在网上挂牌交易系统确定成交候选人之日起</w:t>
      </w:r>
      <w:r>
        <w:rPr>
          <w:rFonts w:hint="eastAsia" w:ascii="仿宋" w:hAnsi="仿宋" w:eastAsia="仿宋" w:cs="仿宋"/>
          <w:b w:val="0"/>
          <w:bCs w:val="0"/>
          <w:color w:val="auto"/>
          <w:sz w:val="32"/>
          <w:szCs w:val="32"/>
          <w:u w:val="none"/>
          <w:lang w:val="en-US" w:eastAsia="zh-CN"/>
        </w:rPr>
        <w:t>2</w:t>
      </w:r>
      <w:r>
        <w:rPr>
          <w:rFonts w:hint="eastAsia" w:ascii="仿宋" w:hAnsi="仿宋" w:eastAsia="仿宋" w:cs="仿宋"/>
          <w:b w:val="0"/>
          <w:bCs w:val="0"/>
          <w:color w:val="auto"/>
          <w:sz w:val="32"/>
          <w:szCs w:val="32"/>
          <w:u w:val="none"/>
        </w:rPr>
        <w:t>个工作日内将竞买申请纸质材料提交至我局，由我局对竞买资格进行审查。我局将于</w:t>
      </w:r>
      <w:r>
        <w:rPr>
          <w:rFonts w:hint="eastAsia" w:ascii="仿宋" w:hAnsi="仿宋" w:eastAsia="仿宋" w:cs="仿宋"/>
          <w:b w:val="0"/>
          <w:bCs w:val="0"/>
          <w:color w:val="auto"/>
          <w:sz w:val="32"/>
          <w:szCs w:val="32"/>
          <w:u w:val="none"/>
          <w:lang w:val="en-US" w:eastAsia="zh-CN"/>
        </w:rPr>
        <w:t>2022</w:t>
      </w:r>
      <w:r>
        <w:rPr>
          <w:rFonts w:hint="eastAsia" w:ascii="仿宋" w:hAnsi="仿宋" w:eastAsia="仿宋" w:cs="仿宋"/>
          <w:b w:val="0"/>
          <w:bCs w:val="0"/>
          <w:color w:val="auto"/>
          <w:sz w:val="32"/>
          <w:szCs w:val="32"/>
          <w:highlight w:val="none"/>
          <w:u w:val="none"/>
        </w:rPr>
        <w:t>年</w:t>
      </w:r>
      <w:r>
        <w:rPr>
          <w:rFonts w:hint="eastAsia" w:ascii="仿宋" w:hAnsi="仿宋" w:eastAsia="仿宋" w:cs="仿宋"/>
          <w:b w:val="0"/>
          <w:bCs w:val="0"/>
          <w:color w:val="auto"/>
          <w:sz w:val="32"/>
          <w:szCs w:val="32"/>
          <w:highlight w:val="none"/>
          <w:u w:val="none"/>
          <w:lang w:val="en-US" w:eastAsia="zh-CN"/>
        </w:rPr>
        <w:t>11</w:t>
      </w:r>
      <w:r>
        <w:rPr>
          <w:rFonts w:hint="eastAsia" w:ascii="仿宋" w:hAnsi="仿宋" w:eastAsia="仿宋" w:cs="仿宋"/>
          <w:b w:val="0"/>
          <w:bCs w:val="0"/>
          <w:color w:val="auto"/>
          <w:sz w:val="32"/>
          <w:szCs w:val="32"/>
          <w:highlight w:val="none"/>
          <w:u w:val="none"/>
        </w:rPr>
        <w:t>月</w:t>
      </w:r>
      <w:r>
        <w:rPr>
          <w:rFonts w:hint="eastAsia" w:ascii="仿宋" w:hAnsi="仿宋" w:eastAsia="仿宋" w:cs="仿宋"/>
          <w:b w:val="0"/>
          <w:bCs w:val="0"/>
          <w:color w:val="auto"/>
          <w:sz w:val="32"/>
          <w:szCs w:val="32"/>
          <w:highlight w:val="none"/>
          <w:u w:val="none"/>
          <w:lang w:val="en-US" w:eastAsia="zh-CN"/>
        </w:rPr>
        <w:t>29</w:t>
      </w:r>
      <w:r>
        <w:rPr>
          <w:rFonts w:hint="eastAsia" w:ascii="仿宋" w:hAnsi="仿宋" w:eastAsia="仿宋" w:cs="仿宋"/>
          <w:b w:val="0"/>
          <w:bCs w:val="0"/>
          <w:color w:val="auto"/>
          <w:sz w:val="32"/>
          <w:szCs w:val="32"/>
          <w:u w:val="none"/>
        </w:rPr>
        <w:t>日</w:t>
      </w:r>
      <w:r>
        <w:rPr>
          <w:rFonts w:hint="eastAsia" w:ascii="仿宋" w:hAnsi="仿宋" w:eastAsia="仿宋" w:cs="仿宋"/>
          <w:b w:val="0"/>
          <w:bCs w:val="0"/>
          <w:color w:val="auto"/>
          <w:sz w:val="32"/>
          <w:szCs w:val="32"/>
          <w:u w:val="none"/>
        </w:rPr>
        <w:t>前确定符合竞买资格的成交候选人为竞得人。</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成交候选人资格审查须提交下列材料：</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rPr>
      </w:pPr>
      <w:r>
        <w:rPr>
          <w:rFonts w:hint="eastAsia" w:ascii="仿宋" w:hAnsi="仿宋" w:eastAsia="仿宋" w:cs="仿宋"/>
          <w:b w:val="0"/>
          <w:bCs w:val="0"/>
          <w:color w:val="auto"/>
          <w:kern w:val="2"/>
          <w:sz w:val="32"/>
          <w:szCs w:val="32"/>
        </w:rPr>
        <w:t>《竞买申请书》（加盖公章）；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rPr>
      </w:pPr>
      <w:r>
        <w:rPr>
          <w:rFonts w:hint="eastAsia" w:ascii="仿宋" w:hAnsi="仿宋" w:eastAsia="仿宋" w:cs="仿宋"/>
          <w:b w:val="0"/>
          <w:bCs w:val="0"/>
          <w:color w:val="auto"/>
          <w:kern w:val="2"/>
          <w:sz w:val="32"/>
          <w:szCs w:val="32"/>
        </w:rPr>
        <w:t>《竞价结果通知书》（加盖公章）；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rPr>
      </w:pPr>
      <w:r>
        <w:rPr>
          <w:rFonts w:hint="eastAsia" w:ascii="仿宋" w:hAnsi="仿宋" w:eastAsia="仿宋" w:cs="仿宋"/>
          <w:b w:val="0"/>
          <w:bCs w:val="0"/>
          <w:color w:val="auto"/>
          <w:kern w:val="2"/>
          <w:sz w:val="32"/>
          <w:szCs w:val="32"/>
        </w:rPr>
        <w:t>《竞买保证金到账通知书》（加盖公章）；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rPr>
      </w:pPr>
      <w:r>
        <w:rPr>
          <w:rFonts w:hint="eastAsia" w:ascii="仿宋" w:hAnsi="仿宋" w:eastAsia="仿宋" w:cs="仿宋"/>
          <w:b w:val="0"/>
          <w:bCs w:val="0"/>
          <w:color w:val="auto"/>
          <w:kern w:val="2"/>
          <w:sz w:val="32"/>
          <w:szCs w:val="32"/>
        </w:rPr>
        <w:t>竞买保证金转账凭证复印件（加盖公章）；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rPr>
      </w:pPr>
      <w:r>
        <w:rPr>
          <w:rFonts w:hint="eastAsia" w:ascii="仿宋" w:hAnsi="仿宋" w:eastAsia="仿宋" w:cs="仿宋"/>
          <w:b w:val="0"/>
          <w:bCs w:val="0"/>
          <w:color w:val="auto"/>
          <w:kern w:val="2"/>
          <w:sz w:val="32"/>
          <w:szCs w:val="32"/>
        </w:rPr>
        <w:t>申请竞买人有效的《营业执照》复印件（加盖公章）；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rPr>
      </w:pPr>
      <w:r>
        <w:rPr>
          <w:rFonts w:hint="eastAsia" w:ascii="仿宋" w:hAnsi="仿宋" w:eastAsia="仿宋" w:cs="仿宋"/>
          <w:b w:val="0"/>
          <w:bCs w:val="0"/>
          <w:color w:val="auto"/>
          <w:kern w:val="2"/>
          <w:sz w:val="32"/>
          <w:szCs w:val="32"/>
        </w:rPr>
        <w:t>法定代表人身份证复印件（加盖公章）；</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rPr>
      </w:pPr>
      <w:r>
        <w:rPr>
          <w:rFonts w:hint="eastAsia" w:ascii="仿宋" w:hAnsi="仿宋" w:eastAsia="仿宋" w:cs="仿宋"/>
          <w:b w:val="0"/>
          <w:bCs w:val="0"/>
          <w:color w:val="auto"/>
          <w:kern w:val="2"/>
          <w:sz w:val="32"/>
          <w:szCs w:val="32"/>
        </w:rPr>
        <w:t>授权他人代理的授权委托书及代理人身份证复印件（核对原件）；</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4F81BD" w:themeColor="accent1"/>
          <w:kern w:val="2"/>
          <w:sz w:val="32"/>
          <w:szCs w:val="32"/>
          <w:highlight w:val="none"/>
          <w:lang w:val="en-US" w:eastAsia="zh-CN"/>
          <w14:textFill>
            <w14:solidFill>
              <w14:schemeClr w14:val="accent1"/>
            </w14:solidFill>
          </w14:textFill>
        </w:rPr>
      </w:pPr>
      <w:r>
        <w:rPr>
          <w:rFonts w:hint="eastAsia" w:ascii="仿宋" w:hAnsi="仿宋" w:eastAsia="仿宋" w:cs="仿宋"/>
          <w:b w:val="0"/>
          <w:bCs w:val="0"/>
          <w:color w:val="4F81BD" w:themeColor="accent1"/>
          <w:kern w:val="2"/>
          <w:sz w:val="32"/>
          <w:szCs w:val="32"/>
          <w:highlight w:val="none"/>
          <w14:textFill>
            <w14:solidFill>
              <w14:schemeClr w14:val="accent1"/>
            </w14:solidFill>
          </w14:textFill>
        </w:rPr>
        <w:t>联合竞买协议</w:t>
      </w:r>
      <w:r>
        <w:rPr>
          <w:rFonts w:hint="eastAsia" w:ascii="仿宋" w:hAnsi="仿宋" w:eastAsia="仿宋" w:cs="仿宋"/>
          <w:b w:val="0"/>
          <w:bCs w:val="0"/>
          <w:color w:val="4F81BD" w:themeColor="accent1"/>
          <w:kern w:val="2"/>
          <w:sz w:val="32"/>
          <w:szCs w:val="32"/>
          <w:highlight w:val="none"/>
          <w:lang w:eastAsia="zh-CN"/>
          <w14:textFill>
            <w14:solidFill>
              <w14:schemeClr w14:val="accent1"/>
            </w14:solidFill>
          </w14:textFill>
        </w:rPr>
        <w:t>（联合竞买的提供）</w:t>
      </w:r>
      <w:r>
        <w:rPr>
          <w:rFonts w:hint="eastAsia" w:ascii="仿宋" w:hAnsi="仿宋" w:eastAsia="仿宋" w:cs="仿宋"/>
          <w:b w:val="0"/>
          <w:bCs w:val="0"/>
          <w:color w:val="4F81BD" w:themeColor="accent1"/>
          <w:kern w:val="2"/>
          <w:sz w:val="32"/>
          <w:szCs w:val="32"/>
          <w:highlight w:val="none"/>
          <w:lang w:val="en-US" w:eastAsia="zh-CN"/>
          <w14:textFill>
            <w14:solidFill>
              <w14:schemeClr w14:val="accent1"/>
            </w14:solidFill>
          </w14:textFill>
        </w:rPr>
        <w:t>；</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竞买人及其控股股东不存在违法、违规、违约行为的承诺书；</w:t>
      </w:r>
    </w:p>
    <w:p>
      <w:pPr>
        <w:pStyle w:val="12"/>
        <w:keepNext w:val="0"/>
        <w:keepLines w:val="0"/>
        <w:pageBreakBefore w:val="0"/>
        <w:widowControl/>
        <w:numPr>
          <w:ilvl w:val="0"/>
          <w:numId w:val="4"/>
        </w:numPr>
        <w:kinsoku/>
        <w:wordWrap/>
        <w:overflowPunct/>
        <w:topLinePunct w:val="0"/>
        <w:autoSpaceDE/>
        <w:autoSpaceDN/>
        <w:bidi w:val="0"/>
        <w:adjustRightInd/>
        <w:snapToGrid/>
        <w:spacing w:line="240" w:lineRule="auto"/>
        <w:ind w:firstLine="675" w:firstLineChars="211"/>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其他</w:t>
      </w:r>
      <w:r>
        <w:rPr>
          <w:rFonts w:hint="eastAsia" w:ascii="仿宋" w:hAnsi="仿宋" w:eastAsia="仿宋" w:cs="仿宋"/>
          <w:b w:val="0"/>
          <w:bCs w:val="0"/>
          <w:color w:val="auto"/>
          <w:sz w:val="32"/>
          <w:szCs w:val="32"/>
        </w:rPr>
        <w:t>资格审查</w:t>
      </w:r>
      <w:r>
        <w:rPr>
          <w:rFonts w:hint="eastAsia" w:ascii="仿宋" w:hAnsi="仿宋" w:eastAsia="仿宋" w:cs="仿宋"/>
          <w:b w:val="0"/>
          <w:bCs w:val="0"/>
          <w:color w:val="auto"/>
          <w:sz w:val="32"/>
          <w:szCs w:val="32"/>
          <w:lang w:val="en-US" w:eastAsia="zh-CN"/>
        </w:rPr>
        <w:t>需要提供的材料。</w:t>
      </w:r>
      <w:r>
        <w:rPr>
          <w:rFonts w:hint="eastAsia" w:ascii="仿宋" w:hAnsi="仿宋" w:eastAsia="仿宋" w:cs="仿宋"/>
          <w:b w:val="0"/>
          <w:bCs w:val="0"/>
          <w:color w:val="auto"/>
          <w:kern w:val="2"/>
          <w:sz w:val="32"/>
          <w:szCs w:val="32"/>
        </w:rPr>
        <w:t xml:space="preserve">    </w:t>
      </w:r>
      <w:r>
        <w:rPr>
          <w:rFonts w:hint="eastAsia" w:ascii="仿宋" w:hAnsi="仿宋" w:eastAsia="仿宋" w:cs="仿宋"/>
          <w:color w:val="auto"/>
          <w:sz w:val="28"/>
          <w:szCs w:val="28"/>
        </w:rPr>
        <w:t xml:space="preserve">       </w:t>
      </w:r>
    </w:p>
    <w:p>
      <w:pPr>
        <w:keepNext w:val="0"/>
        <w:keepLines w:val="0"/>
        <w:pageBreakBefore w:val="0"/>
        <w:kinsoku/>
        <w:wordWrap/>
        <w:overflowPunct/>
        <w:topLinePunct w:val="0"/>
        <w:bidi w:val="0"/>
        <w:adjustRightInd/>
        <w:snapToGrid/>
        <w:spacing w:line="240" w:lineRule="auto"/>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十、签订交易成交确认书及出让合同</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color w:val="auto"/>
          <w:sz w:val="32"/>
          <w:szCs w:val="32"/>
          <w:lang w:val="en-US"/>
        </w:rPr>
      </w:pPr>
      <w:r>
        <w:rPr>
          <w:rFonts w:hint="eastAsia" w:ascii="仿宋" w:hAnsi="仿宋" w:eastAsia="仿宋" w:cs="仿宋"/>
          <w:b w:val="0"/>
          <w:bCs w:val="0"/>
          <w:color w:val="auto"/>
          <w:sz w:val="32"/>
          <w:szCs w:val="32"/>
        </w:rPr>
        <w:t>竞得人应在接</w:t>
      </w:r>
      <w:r>
        <w:rPr>
          <w:rFonts w:hint="eastAsia" w:ascii="仿宋" w:hAnsi="仿宋" w:eastAsia="仿宋" w:cs="仿宋"/>
          <w:b w:val="0"/>
          <w:bCs w:val="0"/>
          <w:color w:val="auto"/>
          <w:sz w:val="32"/>
          <w:szCs w:val="32"/>
          <w:u w:val="none"/>
        </w:rPr>
        <w:t>到竞得人确定通知之日起</w:t>
      </w:r>
      <w:r>
        <w:rPr>
          <w:rFonts w:hint="eastAsia" w:ascii="仿宋" w:hAnsi="仿宋" w:eastAsia="仿宋" w:cs="仿宋"/>
          <w:b w:val="0"/>
          <w:bCs w:val="0"/>
          <w:color w:val="auto"/>
          <w:sz w:val="32"/>
          <w:szCs w:val="32"/>
          <w:u w:val="none"/>
          <w:lang w:val="en-US" w:eastAsia="zh-CN"/>
        </w:rPr>
        <w:t>5</w:t>
      </w:r>
      <w:r>
        <w:rPr>
          <w:rFonts w:hint="eastAsia" w:ascii="仿宋" w:hAnsi="仿宋" w:eastAsia="仿宋" w:cs="仿宋"/>
          <w:b w:val="0"/>
          <w:bCs w:val="0"/>
          <w:color w:val="auto"/>
          <w:sz w:val="32"/>
          <w:szCs w:val="32"/>
          <w:u w:val="none"/>
        </w:rPr>
        <w:t>个工作日内</w:t>
      </w:r>
      <w:r>
        <w:rPr>
          <w:rFonts w:hint="eastAsia" w:ascii="仿宋" w:hAnsi="仿宋" w:eastAsia="仿宋" w:cs="仿宋"/>
          <w:b w:val="0"/>
          <w:bCs w:val="0"/>
          <w:color w:val="auto"/>
          <w:sz w:val="32"/>
          <w:szCs w:val="32"/>
          <w:u w:val="none"/>
          <w:lang w:eastAsia="zh-CN"/>
        </w:rPr>
        <w:t>与我局、交易中心</w:t>
      </w:r>
      <w:r>
        <w:rPr>
          <w:rFonts w:hint="eastAsia" w:ascii="仿宋" w:hAnsi="仿宋" w:eastAsia="仿宋" w:cs="仿宋"/>
          <w:b w:val="0"/>
          <w:bCs w:val="0"/>
          <w:color w:val="auto"/>
          <w:sz w:val="32"/>
          <w:szCs w:val="32"/>
          <w:u w:val="none"/>
        </w:rPr>
        <w:t>签订《成交确认书》，在签订《成交确认书》之日起</w:t>
      </w:r>
      <w:r>
        <w:rPr>
          <w:rFonts w:hint="eastAsia" w:ascii="仿宋" w:hAnsi="仿宋" w:eastAsia="仿宋" w:cs="仿宋"/>
          <w:b w:val="0"/>
          <w:bCs w:val="0"/>
          <w:color w:val="auto"/>
          <w:sz w:val="32"/>
          <w:szCs w:val="32"/>
          <w:u w:val="none"/>
          <w:lang w:val="en-US" w:eastAsia="zh-CN"/>
        </w:rPr>
        <w:t>10</w:t>
      </w:r>
      <w:r>
        <w:rPr>
          <w:rFonts w:hint="eastAsia" w:ascii="仿宋" w:hAnsi="仿宋" w:eastAsia="仿宋" w:cs="仿宋"/>
          <w:b w:val="0"/>
          <w:bCs w:val="0"/>
          <w:color w:val="auto"/>
          <w:sz w:val="32"/>
          <w:szCs w:val="32"/>
          <w:u w:val="none"/>
        </w:rPr>
        <w:t>个工作日内与我局签订《国有建设用地使用权出让合同》</w:t>
      </w:r>
      <w:r>
        <w:rPr>
          <w:rFonts w:hint="eastAsia" w:ascii="仿宋" w:hAnsi="仿宋" w:eastAsia="仿宋" w:cs="仿宋"/>
          <w:b w:val="0"/>
          <w:bCs w:val="0"/>
          <w:color w:val="auto"/>
          <w:sz w:val="32"/>
          <w:szCs w:val="32"/>
          <w:u w:val="none"/>
          <w:lang w:eastAsia="zh-CN"/>
        </w:rPr>
        <w:t>，</w:t>
      </w:r>
      <w:r>
        <w:rPr>
          <w:rFonts w:hint="eastAsia" w:ascii="仿宋" w:hAnsi="仿宋" w:eastAsia="仿宋" w:cs="仿宋"/>
          <w:b w:val="0"/>
          <w:bCs w:val="0"/>
          <w:color w:val="auto"/>
          <w:sz w:val="32"/>
          <w:szCs w:val="32"/>
          <w:u w:val="none"/>
          <w:lang w:val="en-US" w:eastAsia="zh-CN"/>
        </w:rPr>
        <w:t>以下简称《出让合同》。</w:t>
      </w:r>
    </w:p>
    <w:p>
      <w:pPr>
        <w:keepNext w:val="0"/>
        <w:keepLines w:val="0"/>
        <w:pageBreakBefore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十一、竞买保证金退还或转付成交价款</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签订</w:t>
      </w:r>
      <w:r>
        <w:rPr>
          <w:rFonts w:hint="eastAsia" w:ascii="仿宋" w:hAnsi="仿宋" w:eastAsia="仿宋" w:cs="仿宋"/>
          <w:b w:val="0"/>
          <w:bCs w:val="0"/>
          <w:color w:val="auto"/>
          <w:sz w:val="32"/>
          <w:szCs w:val="32"/>
          <w:lang w:val="en-US" w:eastAsia="zh-CN"/>
        </w:rPr>
        <w:t>《出让合同》</w:t>
      </w:r>
      <w:r>
        <w:rPr>
          <w:rFonts w:hint="eastAsia" w:ascii="仿宋" w:hAnsi="仿宋" w:eastAsia="仿宋" w:cs="仿宋"/>
          <w:b w:val="0"/>
          <w:bCs w:val="0"/>
          <w:color w:val="auto"/>
          <w:sz w:val="32"/>
          <w:szCs w:val="32"/>
        </w:rPr>
        <w:t>，竞得人</w:t>
      </w:r>
      <w:r>
        <w:rPr>
          <w:rFonts w:hint="eastAsia" w:ascii="仿宋" w:hAnsi="仿宋" w:eastAsia="仿宋" w:cs="仿宋"/>
          <w:b w:val="0"/>
          <w:bCs w:val="0"/>
          <w:color w:val="auto"/>
          <w:sz w:val="32"/>
          <w:szCs w:val="32"/>
          <w:shd w:val="clear" w:color="auto" w:fill="auto"/>
          <w:lang w:eastAsia="zh-CN"/>
        </w:rPr>
        <w:t>交</w:t>
      </w:r>
      <w:r>
        <w:rPr>
          <w:rFonts w:hint="eastAsia" w:ascii="仿宋" w:hAnsi="仿宋" w:eastAsia="仿宋" w:cs="仿宋"/>
          <w:b w:val="0"/>
          <w:bCs w:val="0"/>
          <w:color w:val="auto"/>
          <w:sz w:val="32"/>
          <w:szCs w:val="32"/>
          <w:shd w:val="clear" w:color="auto" w:fill="auto"/>
        </w:rPr>
        <w:t>纳</w:t>
      </w:r>
      <w:r>
        <w:rPr>
          <w:rFonts w:hint="eastAsia" w:ascii="仿宋" w:hAnsi="仿宋" w:eastAsia="仿宋" w:cs="仿宋"/>
          <w:b w:val="0"/>
          <w:bCs w:val="0"/>
          <w:color w:val="auto"/>
          <w:sz w:val="32"/>
          <w:szCs w:val="32"/>
        </w:rPr>
        <w:t>的竞买保证金按成交价的</w:t>
      </w:r>
      <w:r>
        <w:rPr>
          <w:rFonts w:hint="eastAsia" w:ascii="仿宋" w:hAnsi="仿宋" w:eastAsia="仿宋" w:cs="仿宋"/>
          <w:b w:val="0"/>
          <w:bCs w:val="0"/>
          <w:color w:val="auto"/>
          <w:sz w:val="32"/>
          <w:szCs w:val="32"/>
          <w:u w:val="none"/>
          <w:lang w:val="en-US" w:eastAsia="zh-CN"/>
        </w:rPr>
        <w:t xml:space="preserve">10 </w:t>
      </w:r>
      <w:r>
        <w:rPr>
          <w:rFonts w:hint="eastAsia" w:ascii="仿宋" w:hAnsi="仿宋" w:eastAsia="仿宋" w:cs="仿宋"/>
          <w:b w:val="0"/>
          <w:bCs w:val="0"/>
          <w:color w:val="auto"/>
          <w:sz w:val="32"/>
          <w:szCs w:val="32"/>
        </w:rPr>
        <w:t>%转作受让宗地的定金</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如竞买保证金不足以</w:t>
      </w:r>
      <w:r>
        <w:rPr>
          <w:rFonts w:hint="eastAsia" w:ascii="仿宋" w:hAnsi="仿宋" w:eastAsia="仿宋" w:cs="仿宋"/>
          <w:b w:val="0"/>
          <w:bCs w:val="0"/>
          <w:color w:val="auto"/>
          <w:sz w:val="32"/>
          <w:szCs w:val="32"/>
          <w:lang w:eastAsia="zh-CN"/>
        </w:rPr>
        <w:t>交</w:t>
      </w:r>
      <w:r>
        <w:rPr>
          <w:rFonts w:hint="eastAsia" w:ascii="仿宋" w:hAnsi="仿宋" w:eastAsia="仿宋" w:cs="仿宋"/>
          <w:b w:val="0"/>
          <w:bCs w:val="0"/>
          <w:color w:val="auto"/>
          <w:sz w:val="32"/>
          <w:szCs w:val="32"/>
        </w:rPr>
        <w:t>纳定金，不足部分在交易系统确定成交之日起5个工作日内补齐；如竞买保证金转作定金后有剩余，余额转作宗地成交价款，定金可抵作宗地成交价款。</w:t>
      </w:r>
    </w:p>
    <w:p>
      <w:pPr>
        <w:keepNext w:val="0"/>
        <w:keepLines w:val="0"/>
        <w:pageBreakBefore w:val="0"/>
        <w:widowControl w:val="0"/>
        <w:kinsoku/>
        <w:wordWrap/>
        <w:overflowPunct/>
        <w:topLinePunct w:val="0"/>
        <w:bidi w:val="0"/>
        <w:adjustRightInd/>
        <w:snapToGrid/>
        <w:spacing w:line="240" w:lineRule="auto"/>
        <w:ind w:firstLine="640" w:firstLineChars="200"/>
        <w:jc w:val="both"/>
        <w:textAlignment w:val="auto"/>
        <w:rPr>
          <w:rFonts w:hint="eastAsia" w:ascii="仿宋" w:hAnsi="仿宋" w:eastAsia="仿宋" w:cs="仿宋"/>
          <w:color w:val="auto"/>
          <w:sz w:val="32"/>
          <w:szCs w:val="32"/>
          <w:highlight w:val="none"/>
          <w:lang w:val="en-US" w:eastAsia="zh-CN" w:bidi="ar-SA"/>
        </w:rPr>
      </w:pPr>
      <w:r>
        <w:rPr>
          <w:rFonts w:hint="eastAsia" w:ascii="仿宋" w:hAnsi="仿宋" w:eastAsia="仿宋" w:cs="仿宋"/>
          <w:color w:val="auto"/>
          <w:sz w:val="32"/>
          <w:szCs w:val="32"/>
          <w:highlight w:val="none"/>
          <w:lang w:val="en-US" w:eastAsia="zh-CN" w:bidi="ar-SA"/>
        </w:rPr>
        <w:t>以外币缴交竞买保证金的，按</w:t>
      </w:r>
      <w:r>
        <w:rPr>
          <w:rFonts w:hint="eastAsia" w:ascii="仿宋" w:hAnsi="仿宋" w:eastAsia="仿宋" w:cs="仿宋"/>
          <w:color w:val="auto"/>
          <w:kern w:val="2"/>
          <w:sz w:val="32"/>
          <w:szCs w:val="32"/>
        </w:rPr>
        <w:t>成交价的</w:t>
      </w:r>
      <w:r>
        <w:rPr>
          <w:rFonts w:hint="eastAsia" w:ascii="仿宋" w:hAnsi="仿宋" w:eastAsia="仿宋" w:cs="仿宋"/>
          <w:color w:val="auto"/>
          <w:sz w:val="32"/>
          <w:szCs w:val="32"/>
          <w:highlight w:val="none"/>
          <w:lang w:val="en-US" w:eastAsia="zh-CN" w:bidi="ar-SA"/>
        </w:rPr>
        <w:t>10%</w:t>
      </w:r>
      <w:r>
        <w:rPr>
          <w:rFonts w:hint="eastAsia" w:ascii="仿宋" w:hAnsi="仿宋" w:eastAsia="仿宋" w:cs="仿宋"/>
          <w:color w:val="auto"/>
          <w:sz w:val="32"/>
          <w:szCs w:val="32"/>
          <w:highlight w:val="none"/>
          <w:lang w:val="en-US" w:eastAsia="zh-CN" w:bidi="ar-SA"/>
        </w:rPr>
        <w:t>部分转为定金，待签订《国有建设用地使用权出让合同》、按时缴清土地</w:t>
      </w:r>
      <w:bookmarkStart w:id="0" w:name="_GoBack"/>
      <w:bookmarkEnd w:id="0"/>
      <w:r>
        <w:rPr>
          <w:rFonts w:hint="eastAsia" w:ascii="仿宋" w:hAnsi="仿宋" w:eastAsia="仿宋" w:cs="仿宋"/>
          <w:color w:val="auto"/>
          <w:sz w:val="32"/>
          <w:szCs w:val="32"/>
          <w:highlight w:val="none"/>
          <w:lang w:val="en-US" w:eastAsia="zh-CN" w:bidi="ar-SA"/>
        </w:rPr>
        <w:t>成交价款后，</w:t>
      </w:r>
      <w:r>
        <w:rPr>
          <w:rFonts w:hint="eastAsia" w:ascii="仿宋" w:hAnsi="仿宋" w:eastAsia="仿宋" w:cs="仿宋"/>
          <w:color w:val="4F81BD" w:themeColor="accent1"/>
          <w:sz w:val="32"/>
          <w:szCs w:val="32"/>
          <w:highlight w:val="none"/>
          <w:lang w:val="en-US" w:eastAsia="zh-CN" w:bidi="ar-SA"/>
          <w14:textFill>
            <w14:solidFill>
              <w14:schemeClr w14:val="accent1"/>
            </w14:solidFill>
          </w14:textFill>
        </w:rPr>
        <w:t>再将定金和剩余保证金一并退还，</w:t>
      </w:r>
      <w:r>
        <w:rPr>
          <w:rFonts w:hint="eastAsia" w:ascii="仿宋" w:hAnsi="仿宋" w:eastAsia="仿宋" w:cs="仿宋"/>
          <w:color w:val="auto"/>
          <w:sz w:val="32"/>
          <w:szCs w:val="32"/>
          <w:highlight w:val="none"/>
          <w:lang w:val="en-US" w:eastAsia="zh-CN" w:bidi="ar-SA"/>
        </w:rPr>
        <w:t>不计利息。</w:t>
      </w:r>
    </w:p>
    <w:p>
      <w:pPr>
        <w:pStyle w:val="3"/>
        <w:keepNext w:val="0"/>
        <w:keepLines w:val="0"/>
        <w:pageBreakBefore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未竞得人交纳的竞买保证金于电子挂牌交易活动结束之日起5个工作日内原路退还，不计利息。</w:t>
      </w:r>
    </w:p>
    <w:p>
      <w:pPr>
        <w:pStyle w:val="3"/>
        <w:keepNext w:val="0"/>
        <w:keepLines w:val="0"/>
        <w:pageBreakBefore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竞得人交纳的竞买保证金转付成交价款，竞得人应带齐如下相关资料到</w:t>
      </w:r>
      <w:r>
        <w:rPr>
          <w:rFonts w:hint="eastAsia" w:ascii="仿宋" w:hAnsi="仿宋" w:eastAsia="仿宋" w:cs="仿宋"/>
          <w:b w:val="0"/>
          <w:bCs w:val="0"/>
          <w:color w:val="auto"/>
          <w:sz w:val="32"/>
          <w:szCs w:val="32"/>
          <w:lang w:val="en-US" w:eastAsia="zh-CN"/>
        </w:rPr>
        <w:t>市公共资源</w:t>
      </w:r>
      <w:r>
        <w:rPr>
          <w:rFonts w:hint="eastAsia" w:ascii="仿宋" w:hAnsi="仿宋" w:eastAsia="仿宋" w:cs="仿宋"/>
          <w:b w:val="0"/>
          <w:bCs w:val="0"/>
          <w:color w:val="auto"/>
          <w:sz w:val="32"/>
          <w:szCs w:val="32"/>
        </w:rPr>
        <w:t>交易中心办理转付成交价款手续：</w:t>
      </w:r>
    </w:p>
    <w:p>
      <w:pPr>
        <w:pStyle w:val="3"/>
        <w:keepNext w:val="0"/>
        <w:keepLines w:val="0"/>
        <w:pageBreakBefore w:val="0"/>
        <w:numPr>
          <w:ilvl w:val="0"/>
          <w:numId w:val="5"/>
        </w:numPr>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color w:val="4F81BD" w:themeColor="accent1"/>
          <w:sz w:val="32"/>
          <w:szCs w:val="32"/>
          <w14:textFill>
            <w14:solidFill>
              <w14:schemeClr w14:val="accent1"/>
            </w14:solidFill>
          </w14:textFill>
        </w:rPr>
      </w:pPr>
      <w:r>
        <w:rPr>
          <w:rFonts w:hint="eastAsia" w:ascii="仿宋" w:hAnsi="仿宋" w:eastAsia="仿宋" w:cs="仿宋"/>
          <w:b w:val="0"/>
          <w:bCs w:val="0"/>
          <w:color w:val="4F81BD" w:themeColor="accent1"/>
          <w:sz w:val="32"/>
          <w:szCs w:val="32"/>
          <w14:textFill>
            <w14:solidFill>
              <w14:schemeClr w14:val="accent1"/>
            </w14:solidFill>
          </w14:textFill>
        </w:rPr>
        <w:t>我局开具的成交价款缴款单；</w:t>
      </w:r>
    </w:p>
    <w:p>
      <w:pPr>
        <w:pStyle w:val="3"/>
        <w:keepNext w:val="0"/>
        <w:keepLines w:val="0"/>
        <w:pageBreakBefore w:val="0"/>
        <w:numPr>
          <w:ilvl w:val="0"/>
          <w:numId w:val="5"/>
        </w:numPr>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color w:val="4F81BD" w:themeColor="accent1"/>
          <w:sz w:val="32"/>
          <w:szCs w:val="32"/>
          <w14:textFill>
            <w14:solidFill>
              <w14:schemeClr w14:val="accent1"/>
            </w14:solidFill>
          </w14:textFill>
        </w:rPr>
      </w:pPr>
      <w:r>
        <w:rPr>
          <w:rFonts w:hint="eastAsia" w:ascii="仿宋" w:hAnsi="仿宋" w:eastAsia="仿宋" w:cs="仿宋"/>
          <w:b w:val="0"/>
          <w:bCs w:val="0"/>
          <w:color w:val="4F81BD" w:themeColor="accent1"/>
          <w:sz w:val="32"/>
          <w:szCs w:val="32"/>
          <w14:textFill>
            <w14:solidFill>
              <w14:schemeClr w14:val="accent1"/>
            </w14:solidFill>
          </w14:textFill>
        </w:rPr>
        <w:t>银行端查询缴税凭证；</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4F81BD" w:themeColor="accent1"/>
          <w:sz w:val="32"/>
          <w:szCs w:val="32"/>
          <w14:textFill>
            <w14:solidFill>
              <w14:schemeClr w14:val="accent1"/>
            </w14:solidFill>
          </w14:textFill>
        </w:rPr>
      </w:pP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lang w:val="en-US" w:eastAsia="zh-CN"/>
          <w14:textFill>
            <w14:solidFill>
              <w14:schemeClr w14:val="accent1"/>
            </w14:solidFill>
          </w14:textFill>
        </w:rPr>
        <w:t>三</w:t>
      </w: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14:textFill>
            <w14:solidFill>
              <w14:schemeClr w14:val="accent1"/>
            </w14:solidFill>
          </w14:textFill>
        </w:rPr>
        <w:t>惠州市非税收入缴款通知</w:t>
      </w:r>
      <w:r>
        <w:rPr>
          <w:rFonts w:hint="eastAsia" w:ascii="仿宋" w:hAnsi="仿宋" w:eastAsia="仿宋" w:cs="仿宋"/>
          <w:b w:val="0"/>
          <w:bCs w:val="0"/>
          <w:color w:val="4F81BD" w:themeColor="accent1"/>
          <w:sz w:val="32"/>
          <w:szCs w:val="32"/>
          <w:lang w:eastAsia="zh-CN"/>
          <w14:textFill>
            <w14:solidFill>
              <w14:schemeClr w14:val="accent1"/>
            </w14:solidFill>
          </w14:textFill>
        </w:rPr>
        <w:t>；</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4F81BD" w:themeColor="accent1"/>
          <w:sz w:val="32"/>
          <w:szCs w:val="32"/>
          <w14:textFill>
            <w14:solidFill>
              <w14:schemeClr w14:val="accent1"/>
            </w14:solidFill>
          </w14:textFill>
        </w:rPr>
      </w:pP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lang w:val="en-US" w:eastAsia="zh-CN"/>
          <w14:textFill>
            <w14:solidFill>
              <w14:schemeClr w14:val="accent1"/>
            </w14:solidFill>
          </w14:textFill>
        </w:rPr>
        <w:t>四</w:t>
      </w: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14:textFill>
            <w14:solidFill>
              <w14:schemeClr w14:val="accent1"/>
            </w14:solidFill>
          </w14:textFill>
        </w:rPr>
        <w:t>保证金到账通知书；</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4F81BD" w:themeColor="accent1"/>
          <w:sz w:val="32"/>
          <w:szCs w:val="32"/>
          <w14:textFill>
            <w14:solidFill>
              <w14:schemeClr w14:val="accent1"/>
            </w14:solidFill>
          </w14:textFill>
        </w:rPr>
      </w:pP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lang w:val="en-US" w:eastAsia="zh-CN"/>
          <w14:textFill>
            <w14:solidFill>
              <w14:schemeClr w14:val="accent1"/>
            </w14:solidFill>
          </w14:textFill>
        </w:rPr>
        <w:t>五</w:t>
      </w: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14:textFill>
            <w14:solidFill>
              <w14:schemeClr w14:val="accent1"/>
            </w14:solidFill>
          </w14:textFill>
        </w:rPr>
        <w:t>竞价结果通知书；</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4F81BD" w:themeColor="accent1"/>
          <w:sz w:val="32"/>
          <w:szCs w:val="32"/>
          <w14:textFill>
            <w14:solidFill>
              <w14:schemeClr w14:val="accent1"/>
            </w14:solidFill>
          </w14:textFill>
        </w:rPr>
      </w:pP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lang w:val="en-US" w:eastAsia="zh-CN"/>
          <w14:textFill>
            <w14:solidFill>
              <w14:schemeClr w14:val="accent1"/>
            </w14:solidFill>
          </w14:textFill>
        </w:rPr>
        <w:t>六</w:t>
      </w:r>
      <w:r>
        <w:rPr>
          <w:rFonts w:hint="eastAsia" w:ascii="仿宋" w:hAnsi="仿宋" w:eastAsia="仿宋" w:cs="仿宋"/>
          <w:b w:val="0"/>
          <w:bCs w:val="0"/>
          <w:color w:val="4F81BD" w:themeColor="accent1"/>
          <w:sz w:val="32"/>
          <w:szCs w:val="32"/>
          <w:lang w:eastAsia="zh-CN"/>
          <w14:textFill>
            <w14:solidFill>
              <w14:schemeClr w14:val="accent1"/>
            </w14:solidFill>
          </w14:textFill>
        </w:rPr>
        <w:t>）</w:t>
      </w:r>
      <w:r>
        <w:rPr>
          <w:rFonts w:hint="eastAsia" w:ascii="仿宋" w:hAnsi="仿宋" w:eastAsia="仿宋" w:cs="仿宋"/>
          <w:b w:val="0"/>
          <w:bCs w:val="0"/>
          <w:color w:val="4F81BD" w:themeColor="accent1"/>
          <w:sz w:val="32"/>
          <w:szCs w:val="32"/>
          <w14:textFill>
            <w14:solidFill>
              <w14:schemeClr w14:val="accent1"/>
            </w14:solidFill>
          </w14:textFill>
        </w:rPr>
        <w:t>保证金转账凭证。</w:t>
      </w:r>
    </w:p>
    <w:p>
      <w:pPr>
        <w:pStyle w:val="3"/>
        <w:keepNext w:val="0"/>
        <w:keepLines w:val="0"/>
        <w:pageBreakBefore w:val="0"/>
        <w:kinsoku/>
        <w:wordWrap/>
        <w:overflowPunct/>
        <w:topLinePunct w:val="0"/>
        <w:autoSpaceDE/>
        <w:autoSpaceDN/>
        <w:bidi w:val="0"/>
        <w:adjustRightInd/>
        <w:snapToGrid/>
        <w:spacing w:line="240" w:lineRule="auto"/>
        <w:ind w:left="0" w:leftChars="0"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十</w:t>
      </w:r>
      <w:r>
        <w:rPr>
          <w:rFonts w:hint="eastAsia" w:ascii="仿宋" w:hAnsi="仿宋" w:eastAsia="仿宋" w:cs="仿宋"/>
          <w:b/>
          <w:bCs/>
          <w:color w:val="auto"/>
          <w:sz w:val="32"/>
          <w:szCs w:val="32"/>
          <w:lang w:eastAsia="zh-CN"/>
        </w:rPr>
        <w:t>二</w:t>
      </w:r>
      <w:r>
        <w:rPr>
          <w:rFonts w:hint="eastAsia" w:ascii="仿宋" w:hAnsi="仿宋" w:eastAsia="仿宋" w:cs="仿宋"/>
          <w:b/>
          <w:bCs/>
          <w:color w:val="auto"/>
          <w:sz w:val="32"/>
          <w:szCs w:val="32"/>
        </w:rPr>
        <w:t>、成交价款支付方式及期限</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土地成交价款须以人民币支付,竞得人在签订出让合同之日起</w:t>
      </w:r>
      <w:r>
        <w:rPr>
          <w:rFonts w:hint="eastAsia" w:ascii="仿宋" w:hAnsi="仿宋" w:eastAsia="仿宋" w:cs="仿宋"/>
          <w:color w:val="auto"/>
          <w:sz w:val="32"/>
          <w:szCs w:val="32"/>
          <w:highlight w:val="none"/>
          <w:u w:val="none"/>
          <w:lang w:val="en-US" w:eastAsia="zh-CN"/>
        </w:rPr>
        <w:t>30日</w:t>
      </w:r>
      <w:r>
        <w:rPr>
          <w:rFonts w:hint="eastAsia" w:ascii="仿宋" w:hAnsi="仿宋" w:eastAsia="仿宋" w:cs="仿宋"/>
          <w:color w:val="auto"/>
          <w:sz w:val="32"/>
          <w:szCs w:val="32"/>
          <w:highlight w:val="none"/>
          <w:lang w:val="en-US" w:eastAsia="zh-CN"/>
        </w:rPr>
        <w:t>内一次性付清全部成交价款。</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竞得人不能按时支付地价款的，自滞纳之日起，每日按迟延支付款项的1‰向出让人缴纳违约金，按合同约定延期付款超过60日的，土地出让人可以解除合同并无偿收回，已付定金归出让人，竞得人无权要求返还，出让人并可要求受让人赔偿损失。</w:t>
      </w:r>
    </w:p>
    <w:p>
      <w:pPr>
        <w:pStyle w:val="3"/>
        <w:keepNext w:val="0"/>
        <w:keepLines w:val="0"/>
        <w:pageBreakBefore w:val="0"/>
        <w:kinsoku/>
        <w:wordWrap/>
        <w:overflowPunct/>
        <w:topLinePunct w:val="0"/>
        <w:autoSpaceDE/>
        <w:autoSpaceDN/>
        <w:bidi w:val="0"/>
        <w:adjustRightInd/>
        <w:snapToGrid/>
        <w:spacing w:line="240" w:lineRule="auto"/>
        <w:ind w:left="0" w:leftChars="0"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十</w:t>
      </w:r>
      <w:r>
        <w:rPr>
          <w:rFonts w:hint="eastAsia" w:ascii="仿宋" w:hAnsi="仿宋" w:eastAsia="仿宋" w:cs="仿宋"/>
          <w:b/>
          <w:bCs/>
          <w:color w:val="auto"/>
          <w:sz w:val="32"/>
          <w:szCs w:val="32"/>
          <w:lang w:eastAsia="zh-CN"/>
        </w:rPr>
        <w:t>三</w:t>
      </w:r>
      <w:r>
        <w:rPr>
          <w:rFonts w:hint="eastAsia" w:ascii="仿宋" w:hAnsi="仿宋" w:eastAsia="仿宋" w:cs="仿宋"/>
          <w:b/>
          <w:bCs/>
          <w:color w:val="auto"/>
          <w:sz w:val="32"/>
          <w:szCs w:val="32"/>
        </w:rPr>
        <w:t>、违规责任</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成交候选人（或竞得人）有下列行为之一的，取消候选人资格（或竞得资格），竞价结果无效，竞买保证金不予退还,造成损失的，成交候选人（或竞得人）还应依法承担赔偿责任：</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不符合竞买资格条件的；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提供虚假文件材料，隐瞒重要事实的；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采取行贿、恶意串通等非法手段竞得的；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无正当理由逾期或拒绝签订成交确认书的；</w:t>
      </w:r>
    </w:p>
    <w:p>
      <w:pPr>
        <w:keepNext w:val="0"/>
        <w:keepLines w:val="0"/>
        <w:pageBreakBefore w:val="0"/>
        <w:numPr>
          <w:ilvl w:val="0"/>
          <w:numId w:val="6"/>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无正当理由逾期或拒绝签订</w:t>
      </w:r>
      <w:r>
        <w:rPr>
          <w:rFonts w:hint="eastAsia" w:ascii="仿宋" w:hAnsi="仿宋" w:eastAsia="仿宋" w:cs="仿宋"/>
          <w:b w:val="0"/>
          <w:bCs w:val="0"/>
          <w:color w:val="auto"/>
          <w:sz w:val="32"/>
          <w:szCs w:val="32"/>
          <w:lang w:val="en-US" w:eastAsia="zh-CN"/>
        </w:rPr>
        <w:t>《出让合同》</w:t>
      </w:r>
      <w:r>
        <w:rPr>
          <w:rFonts w:hint="eastAsia" w:ascii="仿宋" w:hAnsi="仿宋" w:eastAsia="仿宋" w:cs="仿宋"/>
          <w:b w:val="0"/>
          <w:bCs w:val="0"/>
          <w:color w:val="auto"/>
          <w:sz w:val="32"/>
          <w:szCs w:val="32"/>
        </w:rPr>
        <w:t>的。</w:t>
      </w:r>
    </w:p>
    <w:p>
      <w:pPr>
        <w:pStyle w:val="3"/>
        <w:keepNext w:val="0"/>
        <w:keepLines w:val="0"/>
        <w:pageBreakBefore w:val="0"/>
        <w:kinsoku/>
        <w:wordWrap/>
        <w:overflowPunct/>
        <w:topLinePunct w:val="0"/>
        <w:autoSpaceDE/>
        <w:autoSpaceDN/>
        <w:bidi w:val="0"/>
        <w:adjustRightInd/>
        <w:snapToGrid/>
        <w:spacing w:line="240" w:lineRule="auto"/>
        <w:ind w:left="0" w:leftChars="0"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十</w:t>
      </w:r>
      <w:r>
        <w:rPr>
          <w:rFonts w:hint="eastAsia" w:ascii="仿宋" w:hAnsi="仿宋" w:eastAsia="仿宋" w:cs="仿宋"/>
          <w:b/>
          <w:bCs/>
          <w:color w:val="auto"/>
          <w:sz w:val="32"/>
          <w:szCs w:val="32"/>
          <w:lang w:eastAsia="zh-CN"/>
        </w:rPr>
        <w:t>四</w:t>
      </w:r>
      <w:r>
        <w:rPr>
          <w:rFonts w:hint="eastAsia" w:ascii="仿宋" w:hAnsi="仿宋" w:eastAsia="仿宋" w:cs="仿宋"/>
          <w:b/>
          <w:bCs/>
          <w:color w:val="auto"/>
          <w:sz w:val="32"/>
          <w:szCs w:val="32"/>
        </w:rPr>
        <w:t>、其他需要公告的事项</w:t>
      </w:r>
    </w:p>
    <w:p>
      <w:pPr>
        <w:keepNext w:val="0"/>
        <w:keepLines w:val="0"/>
        <w:pageBreakBefore w:val="0"/>
        <w:kinsoku/>
        <w:wordWrap/>
        <w:overflowPunct/>
        <w:topLinePunct w:val="0"/>
        <w:autoSpaceDE/>
        <w:autoSpaceDN/>
        <w:bidi w:val="0"/>
        <w:adjustRightInd/>
        <w:snapToGrid/>
        <w:spacing w:line="240" w:lineRule="auto"/>
        <w:ind w:firstLine="555"/>
        <w:jc w:val="both"/>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（一）本宗地网上挂牌出让的详细资料和具体要求，见</w:t>
      </w:r>
      <w:r>
        <w:rPr>
          <w:rFonts w:hint="eastAsia" w:ascii="仿宋" w:hAnsi="仿宋" w:eastAsia="仿宋" w:cs="仿宋"/>
          <w:b w:val="0"/>
          <w:bCs w:val="0"/>
          <w:color w:val="auto"/>
          <w:sz w:val="32"/>
          <w:szCs w:val="32"/>
          <w:lang w:val="en-US" w:eastAsia="zh-CN"/>
        </w:rPr>
        <w:t>市公共资源</w:t>
      </w:r>
      <w:r>
        <w:rPr>
          <w:rFonts w:hint="eastAsia" w:ascii="仿宋" w:hAnsi="仿宋" w:eastAsia="仿宋" w:cs="仿宋"/>
          <w:b w:val="0"/>
          <w:bCs w:val="0"/>
          <w:color w:val="auto"/>
          <w:sz w:val="32"/>
          <w:szCs w:val="32"/>
        </w:rPr>
        <w:t>交易中心网上挂牌交易系统https://www.hzgtjy.com/。申请人可在网上挂牌交易系统下载挂牌出让公告、须知及相关交易文件。</w:t>
      </w:r>
    </w:p>
    <w:p>
      <w:pPr>
        <w:pStyle w:val="3"/>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（二）有意竞买者可以自行到地块现场踏勘（可在网上挂牌交易系统查阅位置图和现状图）。</w:t>
      </w:r>
    </w:p>
    <w:p>
      <w:pPr>
        <w:pStyle w:val="3"/>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（三）竞买申请一经受理确认后，即视为竞买人对网上挂牌出让公告、须知、相关交易文件及地块现状无异议并全部接受，并对有关承诺承担法律责任。</w:t>
      </w:r>
    </w:p>
    <w:p>
      <w:pPr>
        <w:pStyle w:val="3"/>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（四）地块动工竣工时间及地块交付时间</w:t>
      </w:r>
    </w:p>
    <w:p>
      <w:pPr>
        <w:pStyle w:val="3"/>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1、地块动工时间为地块交付之日起一年内，竣工时间为动工之日起三年内（因不可抗拒因素除外）；</w:t>
      </w:r>
    </w:p>
    <w:p>
      <w:pPr>
        <w:pStyle w:val="3"/>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2、竞得人在付清地价款后一个月内办理交地手续，凭《交地确认书》、《出让合同》（正本）和地价款交款凭证等申请办理土地初始登记，领取《不动产权证书》。</w:t>
      </w:r>
    </w:p>
    <w:p>
      <w:pPr>
        <w:pStyle w:val="3"/>
        <w:keepNext w:val="0"/>
        <w:keepLines w:val="0"/>
        <w:pageBreakBefore w:val="0"/>
        <w:kinsoku/>
        <w:wordWrap/>
        <w:overflowPunct/>
        <w:topLinePunct w:val="0"/>
        <w:autoSpaceDE/>
        <w:autoSpaceDN/>
        <w:bidi w:val="0"/>
        <w:adjustRightInd/>
        <w:snapToGrid/>
        <w:spacing w:line="240" w:lineRule="auto"/>
        <w:ind w:left="0" w:leftChars="0"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（五）土地开发及使用规定</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val="en-US" w:eastAsia="zh-CN"/>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竞得人在用地红线内开发建设必须符合城市规划要求，必须按《规划设计条件告知书》（案卷编号：</w:t>
      </w:r>
      <w:r>
        <w:rPr>
          <w:rFonts w:hint="eastAsia" w:ascii="仿宋" w:hAnsi="仿宋" w:eastAsia="仿宋" w:cs="仿宋"/>
          <w:color w:val="auto"/>
          <w:sz w:val="32"/>
          <w:szCs w:val="32"/>
          <w:lang w:val="en-US" w:eastAsia="zh-CN"/>
        </w:rPr>
        <w:t>PB20220035</w:t>
      </w:r>
      <w:r>
        <w:rPr>
          <w:rFonts w:hint="eastAsia" w:ascii="仿宋" w:hAnsi="仿宋" w:eastAsia="仿宋" w:cs="仿宋"/>
          <w:b w:val="0"/>
          <w:bCs w:val="0"/>
          <w:color w:val="auto"/>
          <w:sz w:val="32"/>
          <w:szCs w:val="32"/>
        </w:rPr>
        <w:t>）规划控制指标要求及有关规定进行规划设计</w:t>
      </w:r>
      <w:r>
        <w:rPr>
          <w:rFonts w:hint="eastAsia" w:ascii="仿宋" w:hAnsi="仿宋" w:eastAsia="仿宋" w:cs="仿宋"/>
          <w:b w:val="0"/>
          <w:bCs w:val="0"/>
          <w:color w:val="auto"/>
          <w:sz w:val="32"/>
          <w:szCs w:val="32"/>
          <w:lang w:val="en-US" w:eastAsia="zh-CN"/>
        </w:rPr>
        <w:t>建设</w:t>
      </w:r>
      <w:r>
        <w:rPr>
          <w:rFonts w:hint="eastAsia" w:ascii="仿宋" w:hAnsi="仿宋" w:eastAsia="仿宋" w:cs="仿宋"/>
          <w:color w:val="auto"/>
          <w:sz w:val="32"/>
          <w:szCs w:val="32"/>
          <w:lang w:eastAsia="zh-CN"/>
        </w:rPr>
        <w:t>公交首末站</w:t>
      </w:r>
      <w:r>
        <w:rPr>
          <w:rFonts w:hint="eastAsia" w:ascii="仿宋" w:hAnsi="仿宋" w:eastAsia="仿宋" w:cs="仿宋"/>
          <w:color w:val="auto"/>
          <w:sz w:val="32"/>
          <w:szCs w:val="32"/>
        </w:rPr>
        <w:t>及配套设施</w:t>
      </w:r>
      <w:r>
        <w:rPr>
          <w:rFonts w:hint="eastAsia" w:ascii="仿宋" w:hAnsi="仿宋" w:eastAsia="仿宋" w:cs="仿宋"/>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27" w:firstLineChars="196"/>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2、竞得人须按</w:t>
      </w:r>
      <w:r>
        <w:rPr>
          <w:rFonts w:hint="eastAsia" w:ascii="仿宋" w:hAnsi="仿宋" w:eastAsia="仿宋" w:cs="仿宋"/>
          <w:color w:val="auto"/>
          <w:sz w:val="32"/>
          <w:szCs w:val="32"/>
          <w:lang w:val="en-US" w:eastAsia="zh-CN"/>
        </w:rPr>
        <w:t>《规划设计条件告知书》（案卷编号：PB20220035）</w:t>
      </w:r>
      <w:r>
        <w:rPr>
          <w:rFonts w:hint="eastAsia" w:ascii="仿宋" w:hAnsi="仿宋" w:eastAsia="仿宋" w:cs="仿宋"/>
          <w:b w:val="0"/>
          <w:bCs w:val="0"/>
          <w:color w:val="auto"/>
          <w:sz w:val="32"/>
          <w:szCs w:val="32"/>
          <w:lang w:val="en-US" w:eastAsia="zh-CN"/>
        </w:rPr>
        <w:t>要求配建相关配套设施；</w:t>
      </w:r>
    </w:p>
    <w:p>
      <w:pPr>
        <w:keepNext w:val="0"/>
        <w:keepLines w:val="0"/>
        <w:pageBreakBefore w:val="0"/>
        <w:widowControl w:val="0"/>
        <w:kinsoku/>
        <w:wordWrap/>
        <w:overflowPunct/>
        <w:topLinePunct w:val="0"/>
        <w:autoSpaceDE/>
        <w:autoSpaceDN/>
        <w:bidi w:val="0"/>
        <w:adjustRightInd/>
        <w:snapToGrid/>
        <w:spacing w:line="240" w:lineRule="auto"/>
        <w:ind w:firstLine="627" w:firstLineChars="196"/>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3、其他要求：</w:t>
      </w:r>
    </w:p>
    <w:p>
      <w:pPr>
        <w:keepNext w:val="0"/>
        <w:keepLines w:val="0"/>
        <w:pageBreakBefore w:val="0"/>
        <w:kinsoku/>
        <w:wordWrap/>
        <w:overflowPunct/>
        <w:topLinePunct w:val="0"/>
        <w:autoSpaceDE/>
        <w:autoSpaceDN/>
        <w:bidi w:val="0"/>
        <w:adjustRightInd/>
        <w:snapToGrid/>
        <w:spacing w:line="240" w:lineRule="auto"/>
        <w:ind w:firstLine="627" w:firstLineChars="196"/>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（1）该地权利清晰，安置补偿落实到位，没有法律经济纠纷，具备动工开发所必须的基本条件。</w:t>
      </w:r>
    </w:p>
    <w:p>
      <w:pPr>
        <w:keepNext w:val="0"/>
        <w:keepLines w:val="0"/>
        <w:pageBreakBefore w:val="0"/>
        <w:kinsoku/>
        <w:wordWrap/>
        <w:overflowPunct/>
        <w:topLinePunct w:val="0"/>
        <w:bidi w:val="0"/>
        <w:adjustRightInd/>
        <w:snapToGrid/>
        <w:spacing w:line="24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bCs/>
          <w:sz w:val="32"/>
          <w:szCs w:val="32"/>
        </w:rPr>
        <w:t>本用地的排水设计应实施雨污分流，排水设计方案应当征求排水主管部门意见。给排水、电力、电信、燃气等管线须与城市市政管网衔接，管线工程设计须与总平面图设计同步进行、同步报审。</w:t>
      </w:r>
    </w:p>
    <w:p>
      <w:pPr>
        <w:keepNext w:val="0"/>
        <w:keepLines w:val="0"/>
        <w:pageBreakBefore w:val="0"/>
        <w:kinsoku/>
        <w:wordWrap/>
        <w:overflowPunct/>
        <w:topLinePunct w:val="0"/>
        <w:bidi w:val="0"/>
        <w:adjustRightInd/>
        <w:snapToGrid/>
        <w:spacing w:line="24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kern w:val="2"/>
          <w:sz w:val="32"/>
          <w:szCs w:val="32"/>
          <w:lang w:val="en-US" w:eastAsia="zh-CN"/>
        </w:rPr>
        <w:t>（3）</w:t>
      </w:r>
      <w:r>
        <w:rPr>
          <w:rFonts w:hint="eastAsia" w:ascii="仿宋" w:hAnsi="仿宋" w:eastAsia="仿宋" w:cs="仿宋"/>
          <w:bCs/>
          <w:sz w:val="32"/>
          <w:szCs w:val="32"/>
          <w:lang w:eastAsia="zh-CN"/>
        </w:rPr>
        <w:t>本</w:t>
      </w:r>
      <w:r>
        <w:rPr>
          <w:rFonts w:hint="eastAsia" w:ascii="仿宋" w:hAnsi="仿宋" w:eastAsia="仿宋" w:cs="仿宋"/>
          <w:bCs/>
          <w:sz w:val="32"/>
          <w:szCs w:val="32"/>
          <w:lang w:val="zh-CN"/>
        </w:rPr>
        <w:t>用地</w:t>
      </w:r>
      <w:r>
        <w:rPr>
          <w:rFonts w:hint="eastAsia" w:ascii="仿宋" w:hAnsi="仿宋" w:eastAsia="仿宋" w:cs="仿宋"/>
          <w:bCs/>
          <w:sz w:val="32"/>
          <w:szCs w:val="32"/>
        </w:rPr>
        <w:t>在开发建设时，应按照《广东省建筑物移动通信基础设施技术规范》(DBJ/T 15-190-2020)、《惠州市公众移动通信5G基站站址专项规划（2020-2024年）》及通信主管部门相关要求开展通信基础设施建设或预留。</w:t>
      </w:r>
    </w:p>
    <w:p>
      <w:pPr>
        <w:keepNext w:val="0"/>
        <w:keepLines w:val="0"/>
        <w:pageBreakBefore w:val="0"/>
        <w:kinsoku/>
        <w:wordWrap/>
        <w:overflowPunct/>
        <w:topLinePunct w:val="0"/>
        <w:autoSpaceDE w:val="0"/>
        <w:autoSpaceDN w:val="0"/>
        <w:bidi w:val="0"/>
        <w:adjustRightInd/>
        <w:snapToGrid/>
        <w:spacing w:line="240" w:lineRule="auto"/>
        <w:ind w:firstLine="630"/>
        <w:jc w:val="both"/>
        <w:textAlignment w:val="auto"/>
        <w:rPr>
          <w:rFonts w:hint="eastAsia" w:ascii="仿宋" w:hAnsi="仿宋" w:eastAsia="仿宋" w:cs="仿宋"/>
          <w:color w:val="auto"/>
          <w:kern w:val="2"/>
          <w:sz w:val="32"/>
          <w:szCs w:val="32"/>
          <w:lang w:val="en-US" w:eastAsia="zh-CN"/>
        </w:rPr>
      </w:pPr>
      <w:r>
        <w:rPr>
          <w:rFonts w:hint="eastAsia" w:ascii="仿宋" w:hAnsi="仿宋" w:eastAsia="仿宋" w:cs="仿宋"/>
          <w:kern w:val="2"/>
          <w:sz w:val="32"/>
          <w:szCs w:val="32"/>
          <w:lang w:val="en-US" w:eastAsia="zh-CN"/>
        </w:rPr>
        <w:t>（4）</w:t>
      </w:r>
      <w:r>
        <w:rPr>
          <w:rFonts w:hint="eastAsia" w:ascii="仿宋" w:hAnsi="仿宋" w:eastAsia="仿宋" w:cs="仿宋"/>
          <w:bCs/>
          <w:sz w:val="32"/>
          <w:szCs w:val="32"/>
          <w:lang w:val="en-US" w:eastAsia="zh-CN"/>
        </w:rPr>
        <w:t>本用地须严格按照《配套设施一览表》配套建设有关设施，《配套设施一览表》中所列的配套设施不得减少数量和压缩规模，并应在总平面及建筑设计方案中明确具体位置。</w:t>
      </w:r>
    </w:p>
    <w:p>
      <w:pPr>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该宗地交易全程适用</w:t>
      </w:r>
      <w:r>
        <w:rPr>
          <w:rFonts w:hint="eastAsia" w:ascii="仿宋" w:hAnsi="仿宋" w:eastAsia="仿宋" w:cs="仿宋"/>
          <w:b w:val="0"/>
          <w:bCs w:val="0"/>
          <w:color w:val="auto"/>
          <w:sz w:val="32"/>
          <w:szCs w:val="32"/>
        </w:rPr>
        <w:t>《惠州市政务服务数据管理局</w:t>
      </w:r>
      <w:r>
        <w:rPr>
          <w:rFonts w:hint="eastAsia" w:ascii="仿宋" w:hAnsi="仿宋" w:eastAsia="仿宋" w:cs="仿宋"/>
          <w:b w:val="0"/>
          <w:bCs w:val="0"/>
          <w:color w:val="auto"/>
          <w:sz w:val="32"/>
          <w:szCs w:val="32"/>
          <w:lang w:val="en-US" w:eastAsia="zh-CN"/>
        </w:rPr>
        <w:t xml:space="preserve"> </w:t>
      </w:r>
      <w:r>
        <w:rPr>
          <w:rFonts w:hint="eastAsia" w:ascii="仿宋" w:hAnsi="仿宋" w:eastAsia="仿宋" w:cs="仿宋"/>
          <w:b w:val="0"/>
          <w:bCs w:val="0"/>
          <w:color w:val="auto"/>
          <w:sz w:val="32"/>
          <w:szCs w:val="32"/>
        </w:rPr>
        <w:t>惠州市公共资源交易中心公共资源电子交易规则》</w:t>
      </w:r>
      <w:r>
        <w:rPr>
          <w:rFonts w:hint="eastAsia" w:ascii="仿宋" w:hAnsi="仿宋" w:eastAsia="仿宋" w:cs="仿宋"/>
          <w:b w:val="0"/>
          <w:bCs w:val="0"/>
          <w:color w:val="auto"/>
          <w:sz w:val="32"/>
          <w:szCs w:val="32"/>
          <w:lang w:val="en-US" w:eastAsia="zh-CN"/>
        </w:rPr>
        <w:t>（惠市政数〔2022〕3号）。</w:t>
      </w:r>
    </w:p>
    <w:p>
      <w:pPr>
        <w:keepNext w:val="0"/>
        <w:keepLines w:val="0"/>
        <w:pageBreakBefore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十五、</w:t>
      </w:r>
      <w:r>
        <w:rPr>
          <w:rFonts w:hint="eastAsia" w:ascii="仿宋" w:hAnsi="仿宋" w:eastAsia="仿宋" w:cs="仿宋"/>
          <w:b/>
          <w:bCs/>
          <w:color w:val="auto"/>
          <w:sz w:val="32"/>
          <w:szCs w:val="32"/>
        </w:rPr>
        <w:t>联系方式：</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eastAsia" w:ascii="仿宋" w:hAnsi="仿宋" w:eastAsia="仿宋" w:cs="仿宋"/>
          <w:b w:val="0"/>
          <w:bCs w:val="0"/>
          <w:color w:val="auto"/>
          <w:sz w:val="32"/>
          <w:szCs w:val="32"/>
          <w:u w:val="single"/>
          <w:lang w:val="en-US" w:eastAsia="zh-CN"/>
        </w:rPr>
      </w:pPr>
      <w:r>
        <w:rPr>
          <w:rFonts w:hint="eastAsia" w:ascii="仿宋" w:hAnsi="仿宋" w:eastAsia="仿宋" w:cs="仿宋"/>
          <w:b w:val="0"/>
          <w:bCs w:val="0"/>
          <w:color w:val="auto"/>
          <w:sz w:val="32"/>
          <w:szCs w:val="32"/>
        </w:rPr>
        <w:t>出让方：</w:t>
      </w:r>
      <w:r>
        <w:rPr>
          <w:rFonts w:hint="eastAsia" w:ascii="仿宋" w:hAnsi="仿宋" w:eastAsia="仿宋" w:cs="仿宋"/>
          <w:b w:val="0"/>
          <w:bCs w:val="0"/>
          <w:color w:val="auto"/>
          <w:sz w:val="32"/>
          <w:szCs w:val="32"/>
          <w:lang w:val="en-US" w:eastAsia="zh-CN"/>
        </w:rPr>
        <w:t>惠州市自然资源局</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eastAsia" w:ascii="仿宋" w:hAnsi="仿宋" w:eastAsia="仿宋" w:cs="仿宋"/>
          <w:b w:val="0"/>
          <w:bCs w:val="0"/>
          <w:color w:val="auto"/>
          <w:sz w:val="32"/>
          <w:szCs w:val="32"/>
          <w:u w:val="single"/>
          <w:lang w:val="en-US" w:eastAsia="zh-CN"/>
        </w:rPr>
      </w:pPr>
      <w:r>
        <w:rPr>
          <w:rFonts w:hint="eastAsia" w:ascii="仿宋" w:hAnsi="仿宋" w:eastAsia="仿宋" w:cs="仿宋"/>
          <w:b w:val="0"/>
          <w:bCs w:val="0"/>
          <w:color w:val="auto"/>
          <w:sz w:val="32"/>
          <w:szCs w:val="32"/>
        </w:rPr>
        <w:t>联系地址：广东省惠州市惠城区三新</w:t>
      </w:r>
      <w:r>
        <w:rPr>
          <w:rFonts w:hint="eastAsia" w:ascii="仿宋" w:hAnsi="仿宋" w:eastAsia="仿宋" w:cs="仿宋"/>
          <w:b w:val="0"/>
          <w:bCs w:val="0"/>
          <w:color w:val="auto"/>
          <w:sz w:val="32"/>
          <w:szCs w:val="32"/>
          <w:lang w:val="en-US" w:eastAsia="zh-CN"/>
        </w:rPr>
        <w:t>南路7号</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eastAsia" w:ascii="仿宋" w:hAnsi="仿宋" w:eastAsia="仿宋" w:cs="仿宋"/>
          <w:b w:val="0"/>
          <w:bCs w:val="0"/>
          <w:color w:val="auto"/>
          <w:sz w:val="32"/>
          <w:szCs w:val="32"/>
          <w:u w:val="single"/>
          <w:lang w:val="en-US" w:eastAsia="zh-CN"/>
        </w:rPr>
      </w:pPr>
      <w:r>
        <w:rPr>
          <w:rFonts w:hint="eastAsia" w:ascii="仿宋" w:hAnsi="仿宋" w:eastAsia="仿宋" w:cs="仿宋"/>
          <w:b w:val="0"/>
          <w:bCs w:val="0"/>
          <w:color w:val="auto"/>
          <w:sz w:val="32"/>
          <w:szCs w:val="32"/>
        </w:rPr>
        <w:t>联系人：</w:t>
      </w:r>
      <w:r>
        <w:rPr>
          <w:rFonts w:hint="eastAsia" w:ascii="仿宋" w:hAnsi="仿宋" w:eastAsia="仿宋" w:cs="仿宋"/>
          <w:b w:val="0"/>
          <w:bCs w:val="0"/>
          <w:color w:val="auto"/>
          <w:sz w:val="32"/>
          <w:szCs w:val="32"/>
          <w:lang w:val="en-US" w:eastAsia="zh-CN"/>
        </w:rPr>
        <w:t>林工</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联系电话：</w:t>
      </w:r>
      <w:r>
        <w:rPr>
          <w:rFonts w:hint="eastAsia" w:ascii="仿宋" w:hAnsi="仿宋" w:eastAsia="仿宋" w:cs="仿宋"/>
          <w:b w:val="0"/>
          <w:bCs w:val="0"/>
          <w:color w:val="auto"/>
          <w:sz w:val="32"/>
          <w:szCs w:val="32"/>
          <w:lang w:val="en-US" w:eastAsia="zh-CN"/>
        </w:rPr>
        <w:t>0752-2896313</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交易机构：惠州市公共资源交易中心</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联系地址：广东省惠州市惠城区三新北路31号市民服务中心3号楼</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eastAsia" w:ascii="仿宋" w:hAnsi="仿宋" w:eastAsia="仿宋" w:cs="仿宋"/>
          <w:b w:val="0"/>
          <w:bCs w:val="0"/>
          <w:color w:val="auto"/>
          <w:sz w:val="32"/>
          <w:szCs w:val="32"/>
          <w:u w:val="single"/>
          <w:lang w:val="en-US" w:eastAsia="zh-CN"/>
        </w:rPr>
      </w:pPr>
      <w:r>
        <w:rPr>
          <w:rFonts w:hint="eastAsia" w:ascii="仿宋" w:hAnsi="仿宋" w:eastAsia="仿宋" w:cs="仿宋"/>
          <w:b w:val="0"/>
          <w:bCs w:val="0"/>
          <w:color w:val="auto"/>
          <w:sz w:val="32"/>
          <w:szCs w:val="32"/>
        </w:rPr>
        <w:t>联系人</w:t>
      </w:r>
      <w:r>
        <w:rPr>
          <w:rFonts w:hint="eastAsia" w:ascii="仿宋" w:hAnsi="仿宋" w:eastAsia="仿宋" w:cs="仿宋"/>
          <w:b w:val="0"/>
          <w:bCs w:val="0"/>
          <w:color w:val="auto"/>
          <w:sz w:val="32"/>
          <w:szCs w:val="32"/>
          <w:lang w:eastAsia="zh-CN"/>
        </w:rPr>
        <w:t>：袁工、白工</w:t>
      </w:r>
    </w:p>
    <w:p>
      <w:pPr>
        <w:keepNext w:val="0"/>
        <w:keepLines w:val="0"/>
        <w:pageBreakBefore w:val="0"/>
        <w:kinsoku/>
        <w:wordWrap/>
        <w:overflowPunct/>
        <w:topLinePunct w:val="0"/>
        <w:autoSpaceDE/>
        <w:autoSpaceDN/>
        <w:bidi w:val="0"/>
        <w:adjustRightInd/>
        <w:snapToGrid/>
        <w:spacing w:line="240" w:lineRule="auto"/>
        <w:ind w:right="640" w:firstLine="640" w:firstLineChars="200"/>
        <w:textAlignment w:val="auto"/>
        <w:rPr>
          <w:rFonts w:hint="eastAsia" w:ascii="仿宋" w:hAnsi="仿宋" w:eastAsia="仿宋" w:cs="仿宋"/>
          <w:b w:val="0"/>
          <w:bCs w:val="0"/>
          <w:color w:val="auto"/>
          <w:sz w:val="32"/>
          <w:szCs w:val="32"/>
          <w:u w:val="single"/>
          <w:lang w:val="en-US" w:eastAsia="zh-CN"/>
        </w:rPr>
      </w:pPr>
      <w:r>
        <w:rPr>
          <w:rFonts w:hint="eastAsia" w:ascii="仿宋" w:hAnsi="仿宋" w:eastAsia="仿宋" w:cs="仿宋"/>
          <w:b w:val="0"/>
          <w:bCs w:val="0"/>
          <w:color w:val="auto"/>
          <w:sz w:val="32"/>
          <w:szCs w:val="32"/>
        </w:rPr>
        <w:t>联系电话：</w:t>
      </w:r>
      <w:r>
        <w:rPr>
          <w:rFonts w:hint="eastAsia" w:ascii="仿宋" w:hAnsi="仿宋" w:eastAsia="仿宋" w:cs="仿宋"/>
          <w:b w:val="0"/>
          <w:bCs w:val="0"/>
          <w:color w:val="auto"/>
          <w:sz w:val="32"/>
          <w:szCs w:val="32"/>
          <w:lang w:val="en-US" w:eastAsia="zh-CN"/>
        </w:rPr>
        <w:t>0752-7121026、0752-7121036</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注：本公告同时在下列网站及场所发布</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b w:val="0"/>
          <w:bCs w:val="0"/>
          <w:color w:val="auto"/>
          <w:sz w:val="32"/>
          <w:szCs w:val="32"/>
        </w:rPr>
        <w:t>中国土地市场网:</w:t>
      </w:r>
      <w:r>
        <w:rPr>
          <w:rFonts w:hint="eastAsia" w:ascii="仿宋" w:hAnsi="仿宋" w:eastAsia="仿宋" w:cs="仿宋"/>
          <w:color w:val="auto"/>
          <w:sz w:val="32"/>
          <w:szCs w:val="32"/>
          <w:highlight w:val="none"/>
        </w:rPr>
        <w:t xml:space="preserve"> http://www.landchina.com</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惠州市自然资源局网站：http://land.huizhou.gov.cn</w:t>
      </w:r>
    </w:p>
    <w:p>
      <w:pPr>
        <w:keepNext w:val="0"/>
        <w:keepLines w:val="0"/>
        <w:pageBreakBefore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惠州市公共资源交易中心</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"http://zyjy.huizhou.gov.cn"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http://zyjy.huizhou.gov.cn</w:t>
      </w:r>
      <w:r>
        <w:rPr>
          <w:rFonts w:hint="eastAsia" w:ascii="仿宋" w:hAnsi="仿宋" w:eastAsia="仿宋" w:cs="仿宋"/>
          <w:color w:val="auto"/>
          <w:sz w:val="32"/>
          <w:szCs w:val="32"/>
          <w:highlight w:val="none"/>
        </w:rPr>
        <w:fldChar w:fldCharType="end"/>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b w:val="0"/>
          <w:bCs w:val="0"/>
          <w:color w:val="auto"/>
          <w:sz w:val="32"/>
          <w:szCs w:val="32"/>
        </w:rPr>
        <w:t>惠州市公共资源交易中心交易大厅的电子显示屏</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数字证书办理地址：广东省惠州市惠城区三新北路31号市民服务中心3号楼惠州市公共资源交易中心一楼大厅1号土地与矿业交易窗口。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联系人：罗工</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联系电话：0752-7121029</w:t>
      </w:r>
    </w:p>
    <w:p>
      <w:pPr>
        <w:pStyle w:val="3"/>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val="0"/>
          <w:bCs w:val="0"/>
          <w:color w:val="auto"/>
          <w:sz w:val="32"/>
          <w:szCs w:val="32"/>
        </w:rPr>
      </w:pPr>
    </w:p>
    <w:p>
      <w:pPr>
        <w:pStyle w:val="3"/>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b w:val="0"/>
          <w:bCs w:val="0"/>
          <w:color w:val="auto"/>
          <w:sz w:val="32"/>
          <w:szCs w:val="32"/>
        </w:rPr>
      </w:pPr>
    </w:p>
    <w:p>
      <w:pPr>
        <w:pStyle w:val="3"/>
        <w:keepNext w:val="0"/>
        <w:keepLines w:val="0"/>
        <w:pageBreakBefore w:val="0"/>
        <w:kinsoku/>
        <w:wordWrap/>
        <w:overflowPunct/>
        <w:topLinePunct w:val="0"/>
        <w:autoSpaceDE/>
        <w:autoSpaceDN/>
        <w:bidi w:val="0"/>
        <w:adjustRightInd/>
        <w:snapToGrid/>
        <w:spacing w:line="240" w:lineRule="auto"/>
        <w:ind w:firstLine="3840" w:firstLineChars="1200"/>
        <w:textAlignment w:val="auto"/>
        <w:rPr>
          <w:rFonts w:hint="eastAsia" w:ascii="仿宋" w:hAnsi="仿宋" w:eastAsia="仿宋" w:cs="仿宋"/>
          <w:b w:val="0"/>
          <w:bCs w:val="0"/>
          <w:color w:val="auto"/>
          <w:sz w:val="32"/>
          <w:szCs w:val="32"/>
          <w:u w:val="single"/>
          <w:lang w:val="en-US" w:eastAsia="zh-CN"/>
        </w:rPr>
      </w:pPr>
      <w:r>
        <w:rPr>
          <w:rFonts w:hint="eastAsia" w:ascii="仿宋" w:hAnsi="仿宋" w:eastAsia="仿宋" w:cs="仿宋"/>
          <w:b w:val="0"/>
          <w:bCs w:val="0"/>
          <w:color w:val="auto"/>
          <w:sz w:val="32"/>
          <w:szCs w:val="32"/>
          <w:u w:val="none"/>
          <w:lang w:val="en-US" w:eastAsia="zh-CN"/>
        </w:rPr>
        <w:t xml:space="preserve">     惠州市</w:t>
      </w:r>
      <w:r>
        <w:rPr>
          <w:rFonts w:hint="eastAsia" w:ascii="仿宋" w:hAnsi="仿宋" w:eastAsia="仿宋" w:cs="仿宋"/>
          <w:b w:val="0"/>
          <w:bCs w:val="0"/>
          <w:color w:val="auto"/>
          <w:sz w:val="32"/>
          <w:szCs w:val="32"/>
        </w:rPr>
        <w:t>自然资源局</w:t>
      </w:r>
      <w:r>
        <w:rPr>
          <w:rFonts w:hint="eastAsia" w:ascii="仿宋" w:hAnsi="仿宋" w:eastAsia="仿宋" w:cs="仿宋"/>
          <w:b w:val="0"/>
          <w:bCs w:val="0"/>
          <w:color w:val="auto"/>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val="en-US" w:eastAsia="zh-CN"/>
        </w:rPr>
        <w:t xml:space="preserve">                     2022</w:t>
      </w:r>
      <w:r>
        <w:rPr>
          <w:rFonts w:hint="eastAsia" w:ascii="仿宋" w:hAnsi="仿宋" w:eastAsia="仿宋" w:cs="仿宋"/>
          <w:b w:val="0"/>
          <w:bCs w:val="0"/>
          <w:color w:val="auto"/>
          <w:sz w:val="32"/>
          <w:szCs w:val="32"/>
        </w:rPr>
        <w:t>年</w:t>
      </w:r>
      <w:r>
        <w:rPr>
          <w:rFonts w:hint="eastAsia" w:ascii="仿宋" w:hAnsi="仿宋" w:eastAsia="仿宋" w:cs="仿宋"/>
          <w:b w:val="0"/>
          <w:bCs w:val="0"/>
          <w:color w:val="auto"/>
          <w:sz w:val="32"/>
          <w:szCs w:val="32"/>
          <w:u w:val="none"/>
          <w:lang w:val="en-US" w:eastAsia="zh-CN"/>
        </w:rPr>
        <w:t>10</w:t>
      </w:r>
      <w:r>
        <w:rPr>
          <w:rFonts w:hint="eastAsia" w:ascii="仿宋" w:hAnsi="仿宋" w:eastAsia="仿宋" w:cs="仿宋"/>
          <w:b w:val="0"/>
          <w:bCs w:val="0"/>
          <w:color w:val="auto"/>
          <w:sz w:val="32"/>
          <w:szCs w:val="32"/>
        </w:rPr>
        <w:t>月</w:t>
      </w:r>
      <w:r>
        <w:rPr>
          <w:rFonts w:hint="eastAsia" w:ascii="仿宋" w:hAnsi="仿宋" w:eastAsia="仿宋" w:cs="仿宋"/>
          <w:b w:val="0"/>
          <w:bCs w:val="0"/>
          <w:color w:val="auto"/>
          <w:sz w:val="32"/>
          <w:szCs w:val="32"/>
          <w:lang w:val="en-US" w:eastAsia="zh-CN"/>
        </w:rPr>
        <w:t>20</w:t>
      </w:r>
      <w:r>
        <w:rPr>
          <w:rFonts w:hint="eastAsia" w:ascii="仿宋" w:hAnsi="仿宋" w:eastAsia="仿宋" w:cs="仿宋"/>
          <w:b w:val="0"/>
          <w:bCs w:val="0"/>
          <w:color w:val="auto"/>
          <w:sz w:val="32"/>
          <w:szCs w:val="32"/>
        </w:rPr>
        <w:t>日</w:t>
      </w: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黑体" w:cs="Times New Roman"/>
          <w:color w:val="auto"/>
          <w:sz w:val="32"/>
          <w:szCs w:val="32"/>
          <w:highlight w:val="none"/>
        </w:rPr>
        <w:sectPr>
          <w:headerReference r:id="rId3" w:type="default"/>
          <w:footerReference r:id="rId4" w:type="default"/>
          <w:pgSz w:w="11906" w:h="16838"/>
          <w:pgMar w:top="1701" w:right="1701" w:bottom="1701" w:left="1701" w:header="851" w:footer="1474" w:gutter="0"/>
          <w:pgNumType w:fmt="decimal" w:start="1"/>
          <w:cols w:space="720" w:num="1"/>
          <w:docGrid w:type="lines" w:linePitch="312" w:charSpace="0"/>
        </w:sectPr>
      </w:pPr>
    </w:p>
    <w:p>
      <w:pPr>
        <w:pStyle w:val="3"/>
        <w:ind w:left="0" w:leftChars="0" w:firstLine="0" w:firstLineChars="0"/>
        <w:rPr>
          <w:rFonts w:hint="default" w:ascii="Times New Roman" w:hAnsi="Times New Roman" w:cs="Times New Roman"/>
          <w:color w:val="auto"/>
        </w:rPr>
      </w:pPr>
    </w:p>
    <w:p>
      <w:pPr>
        <w:spacing w:line="360" w:lineRule="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rPr>
        <w:t>附表</w:t>
      </w:r>
    </w:p>
    <w:p>
      <w:pPr>
        <w:tabs>
          <w:tab w:val="left" w:pos="9720"/>
        </w:tabs>
        <w:spacing w:line="360" w:lineRule="auto"/>
        <w:jc w:val="center"/>
        <w:rPr>
          <w:rFonts w:hint="default" w:ascii="Times New Roman" w:hAnsi="Times New Roman" w:eastAsia="方正小标宋_GBK" w:cs="Times New Roman"/>
          <w:b/>
          <w:color w:val="auto"/>
          <w:sz w:val="36"/>
          <w:szCs w:val="36"/>
          <w:highlight w:val="none"/>
        </w:rPr>
      </w:pPr>
      <w:r>
        <w:rPr>
          <w:rFonts w:hint="default" w:ascii="Times New Roman" w:hAnsi="Times New Roman" w:eastAsia="方正小标宋_GBK" w:cs="Times New Roman"/>
          <w:b/>
          <w:color w:val="auto"/>
          <w:sz w:val="36"/>
          <w:szCs w:val="36"/>
          <w:highlight w:val="none"/>
        </w:rPr>
        <w:t>网上挂牌出让地块基本情况及规划建设指标</w:t>
      </w:r>
    </w:p>
    <w:tbl>
      <w:tblPr>
        <w:tblStyle w:val="13"/>
        <w:tblpPr w:leftFromText="180" w:rightFromText="180" w:vertAnchor="text" w:horzAnchor="page" w:tblpX="1299" w:tblpY="740"/>
        <w:tblOverlap w:val="never"/>
        <w:tblW w:w="14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775"/>
        <w:gridCol w:w="1305"/>
        <w:gridCol w:w="1365"/>
        <w:gridCol w:w="1995"/>
        <w:gridCol w:w="1710"/>
        <w:gridCol w:w="2130"/>
        <w:gridCol w:w="175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235"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地块挂牌编号</w:t>
            </w:r>
          </w:p>
        </w:tc>
        <w:tc>
          <w:tcPr>
            <w:tcW w:w="1775"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位置</w:t>
            </w:r>
          </w:p>
        </w:tc>
        <w:tc>
          <w:tcPr>
            <w:tcW w:w="1305"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lang w:val="en-US" w:eastAsia="zh-CN"/>
              </w:rPr>
              <w:t>用地</w:t>
            </w:r>
            <w:r>
              <w:rPr>
                <w:rFonts w:hint="default" w:ascii="Times New Roman" w:hAnsi="Times New Roman" w:eastAsia="仿宋_GB2312" w:cs="Times New Roman"/>
                <w:b/>
                <w:bCs/>
                <w:color w:val="auto"/>
                <w:szCs w:val="21"/>
                <w:highlight w:val="none"/>
              </w:rPr>
              <w:t>编号</w:t>
            </w:r>
          </w:p>
        </w:tc>
        <w:tc>
          <w:tcPr>
            <w:tcW w:w="1365"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用途</w:t>
            </w:r>
          </w:p>
        </w:tc>
        <w:tc>
          <w:tcPr>
            <w:tcW w:w="7590" w:type="dxa"/>
            <w:gridSpan w:val="4"/>
            <w:vAlign w:val="center"/>
          </w:tcPr>
          <w:p>
            <w:pPr>
              <w:adjustRightInd w:val="0"/>
              <w:snapToGrid w:val="0"/>
              <w:spacing w:line="320" w:lineRule="exact"/>
              <w:ind w:left="1" w:leftChars="-89" w:hanging="188" w:hangingChars="89"/>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规划指标要求</w:t>
            </w:r>
          </w:p>
        </w:tc>
        <w:tc>
          <w:tcPr>
            <w:tcW w:w="145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235"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775"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305"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365"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995" w:type="dxa"/>
            <w:vAlign w:val="center"/>
          </w:tcPr>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计算指标用地面积</w:t>
            </w:r>
          </w:p>
        </w:tc>
        <w:tc>
          <w:tcPr>
            <w:tcW w:w="1710" w:type="dxa"/>
            <w:vAlign w:val="center"/>
          </w:tcPr>
          <w:p>
            <w:pPr>
              <w:autoSpaceDE w:val="0"/>
              <w:autoSpaceDN w:val="0"/>
              <w:adjustRightInd w:val="0"/>
              <w:spacing w:line="240" w:lineRule="exact"/>
              <w:jc w:val="center"/>
              <w:rPr>
                <w:rFonts w:hint="default" w:ascii="Times New Roman" w:hAnsi="Times New Roman" w:cs="Times New Roman"/>
                <w:b/>
                <w:bCs/>
                <w:color w:val="auto"/>
                <w:szCs w:val="21"/>
                <w:highlight w:val="none"/>
              </w:rPr>
            </w:pPr>
            <w:r>
              <w:rPr>
                <w:rFonts w:hint="default" w:ascii="Times New Roman" w:hAnsi="Times New Roman" w:eastAsia="仿宋_GB2312" w:cs="Times New Roman"/>
                <w:b/>
                <w:bCs/>
                <w:color w:val="auto"/>
                <w:szCs w:val="21"/>
                <w:highlight w:val="none"/>
              </w:rPr>
              <w:t>宗地使用权面积</w:t>
            </w:r>
          </w:p>
        </w:tc>
        <w:tc>
          <w:tcPr>
            <w:tcW w:w="2130" w:type="dxa"/>
            <w:vAlign w:val="center"/>
          </w:tcPr>
          <w:p>
            <w:pPr>
              <w:spacing w:line="320" w:lineRule="exact"/>
              <w:ind w:left="44" w:right="-53" w:rightChars="-25" w:hanging="44" w:hangingChars="21"/>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计容积率建筑面积</w:t>
            </w:r>
          </w:p>
        </w:tc>
        <w:tc>
          <w:tcPr>
            <w:tcW w:w="175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szCs w:val="21"/>
                <w:highlight w:val="none"/>
              </w:rPr>
              <w:t>适建性</w:t>
            </w:r>
          </w:p>
        </w:tc>
        <w:tc>
          <w:tcPr>
            <w:tcW w:w="145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highlight w:val="none"/>
              </w:rPr>
              <w:t>出让年限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123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GP2022-</w:t>
            </w:r>
            <w:r>
              <w:rPr>
                <w:rFonts w:hint="eastAsia" w:eastAsia="仿宋_GB2312" w:cs="Times New Roman"/>
                <w:b/>
                <w:bCs/>
                <w:color w:val="auto"/>
                <w:highlight w:val="none"/>
                <w:lang w:val="en-US" w:eastAsia="zh-CN"/>
              </w:rPr>
              <w:t>29</w:t>
            </w:r>
            <w:r>
              <w:rPr>
                <w:rFonts w:hint="eastAsia" w:eastAsia="仿宋_GB2312" w:cs="Times New Roman"/>
                <w:b/>
                <w:bCs/>
                <w:color w:val="auto"/>
                <w:highlight w:val="none"/>
                <w:lang w:val="en-US" w:eastAsia="zh-CN"/>
              </w:rPr>
              <w:t xml:space="preserve"> </w:t>
            </w:r>
          </w:p>
        </w:tc>
        <w:tc>
          <w:tcPr>
            <w:tcW w:w="177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eastAsia="仿宋_GB2312" w:cs="Times New Roman"/>
                <w:b/>
                <w:bCs/>
                <w:color w:val="auto"/>
                <w:highlight w:val="none"/>
                <w:lang w:val="en-US" w:eastAsia="zh-CN"/>
              </w:rPr>
              <w:t>惠州市惠城区</w:t>
            </w:r>
            <w:r>
              <w:rPr>
                <w:rFonts w:hint="default" w:ascii="Times New Roman" w:hAnsi="Times New Roman" w:eastAsia="仿宋_GB2312" w:cs="Times New Roman"/>
                <w:b/>
                <w:bCs/>
                <w:color w:val="auto"/>
                <w:highlight w:val="none"/>
                <w:lang w:val="en-US" w:eastAsia="zh-CN"/>
              </w:rPr>
              <w:t>南四环沿线</w:t>
            </w:r>
          </w:p>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（科教片区）SD03-06-01地块</w:t>
            </w:r>
          </w:p>
        </w:tc>
        <w:tc>
          <w:tcPr>
            <w:tcW w:w="130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SD03-06-01</w:t>
            </w:r>
          </w:p>
        </w:tc>
        <w:tc>
          <w:tcPr>
            <w:tcW w:w="1365" w:type="dxa"/>
            <w:tcMar>
              <w:left w:w="0" w:type="dxa"/>
              <w:right w:w="0" w:type="dxa"/>
            </w:tcMar>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交通服务场站用地</w:t>
            </w:r>
          </w:p>
        </w:tc>
        <w:tc>
          <w:tcPr>
            <w:tcW w:w="199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9078.90</w:t>
            </w:r>
            <w:r>
              <w:rPr>
                <w:rFonts w:hint="default" w:ascii="Times New Roman" w:hAnsi="Times New Roman" w:eastAsia="仿宋_GB2312" w:cs="Times New Roman"/>
                <w:b/>
                <w:bCs/>
                <w:color w:val="auto"/>
                <w:highlight w:val="none"/>
                <w:lang w:val="en-US" w:eastAsia="zh-CN"/>
              </w:rPr>
              <w:t xml:space="preserve">㎡ </w:t>
            </w:r>
          </w:p>
        </w:tc>
        <w:tc>
          <w:tcPr>
            <w:tcW w:w="171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7839.58</w:t>
            </w:r>
            <w:r>
              <w:rPr>
                <w:rFonts w:hint="default" w:ascii="Times New Roman" w:hAnsi="Times New Roman" w:eastAsia="仿宋_GB2312" w:cs="Times New Roman"/>
                <w:b/>
                <w:bCs/>
                <w:color w:val="auto"/>
                <w:highlight w:val="none"/>
                <w:lang w:val="en-US" w:eastAsia="zh-CN"/>
              </w:rPr>
              <w:t>㎡</w:t>
            </w:r>
          </w:p>
        </w:tc>
        <w:tc>
          <w:tcPr>
            <w:tcW w:w="2130" w:type="dxa"/>
            <w:vAlign w:val="center"/>
          </w:tcPr>
          <w:p>
            <w:pPr>
              <w:adjustRightInd w:val="0"/>
              <w:snapToGrid w:val="0"/>
              <w:spacing w:line="320" w:lineRule="exact"/>
              <w:jc w:val="center"/>
              <w:rPr>
                <w:rFonts w:hint="eastAsia"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配套设施建筑面积</w:t>
            </w:r>
          </w:p>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≥95㎡</w:t>
            </w:r>
          </w:p>
        </w:tc>
        <w:tc>
          <w:tcPr>
            <w:tcW w:w="175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公交首末站及配套设施</w:t>
            </w:r>
          </w:p>
        </w:tc>
        <w:tc>
          <w:tcPr>
            <w:tcW w:w="145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交通服务场站用地</w:t>
            </w:r>
          </w:p>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50年</w:t>
            </w:r>
          </w:p>
        </w:tc>
      </w:tr>
    </w:tbl>
    <w:p>
      <w:pPr>
        <w:pStyle w:val="21"/>
        <w:ind w:firstLine="0"/>
        <w:rPr>
          <w:rFonts w:hint="default" w:ascii="Times New Roman" w:hAnsi="Times New Roman" w:eastAsia="仿宋" w:cs="Times New Roman"/>
          <w:color w:val="auto"/>
          <w:sz w:val="32"/>
          <w:szCs w:val="32"/>
        </w:rPr>
      </w:pPr>
    </w:p>
    <w:sectPr>
      <w:footerReference r:id="rId5" w:type="default"/>
      <w:pgSz w:w="16838" w:h="11906" w:orient="landscape"/>
      <w:pgMar w:top="1560" w:right="1440" w:bottom="1133"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1F54F5-F0F2-460F-B11F-210663B81DDC}"/>
  </w:font>
  <w:font w:name="Arial">
    <w:panose1 w:val="020B0604020202020204"/>
    <w:charset w:val="01"/>
    <w:family w:val="swiss"/>
    <w:pitch w:val="default"/>
    <w:sig w:usb0="E0002AFF" w:usb1="C0007843" w:usb2="00000009" w:usb3="00000000" w:csb0="400001FF" w:csb1="FFFF0000"/>
    <w:embedRegular r:id="rId2" w:fontKey="{76A6BB36-C4F5-4F6B-B0D4-654A4E6B5A42}"/>
  </w:font>
  <w:font w:name="黑体">
    <w:panose1 w:val="02010609060101010101"/>
    <w:charset w:val="86"/>
    <w:family w:val="auto"/>
    <w:pitch w:val="default"/>
    <w:sig w:usb0="800002BF" w:usb1="38CF7CFA" w:usb2="00000016" w:usb3="00000000" w:csb0="00040001" w:csb1="00000000"/>
    <w:embedRegular r:id="rId3" w:fontKey="{EEEB031C-30CD-46DD-A050-407ECF295CEA}"/>
  </w:font>
  <w:font w:name="Courier New">
    <w:panose1 w:val="02070309020205020404"/>
    <w:charset w:val="01"/>
    <w:family w:val="modern"/>
    <w:pitch w:val="default"/>
    <w:sig w:usb0="E0002AFF" w:usb1="C0007843" w:usb2="00000009" w:usb3="00000000" w:csb0="400001FF" w:csb1="FFFF0000"/>
    <w:embedRegular r:id="rId4" w:fontKey="{ABAFCBC8-9065-48A2-94FC-23B9BF3D0F53}"/>
  </w:font>
  <w:font w:name="Symbol">
    <w:panose1 w:val="05050102010706020507"/>
    <w:charset w:val="02"/>
    <w:family w:val="roman"/>
    <w:pitch w:val="default"/>
    <w:sig w:usb0="00000000" w:usb1="00000000" w:usb2="00000000" w:usb3="00000000" w:csb0="80000000" w:csb1="00000000"/>
    <w:embedRegular r:id="rId5" w:fontKey="{B24A157C-BD71-4BDA-9D67-E1DD96813DDF}"/>
  </w:font>
  <w:font w:name="Calibri">
    <w:panose1 w:val="020F0502020204030204"/>
    <w:charset w:val="00"/>
    <w:family w:val="swiss"/>
    <w:pitch w:val="default"/>
    <w:sig w:usb0="E10002FF" w:usb1="4000ACFF" w:usb2="00000009" w:usb3="00000000" w:csb0="2000019F" w:csb1="00000000"/>
    <w:embedRegular r:id="rId6" w:fontKey="{8474C9E6-0239-4037-8721-775DF00E3E6B}"/>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0" w:usb1="00000000" w:usb2="00000000" w:usb3="00000000" w:csb0="00000000" w:csb1="00000000"/>
    <w:embedRegular r:id="rId7" w:fontKey="{CAE3829F-9189-4974-8C17-6289EB3C9CDD}"/>
  </w:font>
  <w:font w:name="华文中宋">
    <w:panose1 w:val="02010600040101010101"/>
    <w:charset w:val="86"/>
    <w:family w:val="auto"/>
    <w:pitch w:val="default"/>
    <w:sig w:usb0="00000287" w:usb1="080F0000" w:usb2="00000000" w:usb3="00000000" w:csb0="0004009F" w:csb1="DFD70000"/>
  </w:font>
  <w:font w:name="Batang">
    <w:panose1 w:val="02030600000101010101"/>
    <w:charset w:val="81"/>
    <w:family w:val="roman"/>
    <w:pitch w:val="default"/>
    <w:sig w:usb0="B00002AF" w:usb1="69D77CFB" w:usb2="00000030" w:usb3="00000000" w:csb0="4008009F" w:csb1="DFD70000"/>
  </w:font>
  <w:font w:name="方正小标宋简体">
    <w:panose1 w:val="02000000000000000000"/>
    <w:charset w:val="86"/>
    <w:family w:val="script"/>
    <w:pitch w:val="default"/>
    <w:sig w:usb0="A00002BF" w:usb1="184F6CFA" w:usb2="00000012" w:usb3="00000000" w:csb0="00040001" w:csb1="00000000"/>
    <w:embedRegular r:id="rId8" w:fontKey="{9C0AF9B0-EADB-47ED-B818-763B1FDFE793}"/>
  </w:font>
  <w:font w:name="仿宋">
    <w:panose1 w:val="02010609060101010101"/>
    <w:charset w:val="86"/>
    <w:family w:val="modern"/>
    <w:pitch w:val="default"/>
    <w:sig w:usb0="800002BF" w:usb1="38CF7CFA" w:usb2="00000016" w:usb3="00000000" w:csb0="00040001" w:csb1="00000000"/>
    <w:embedRegular r:id="rId9" w:fontKey="{8E6696F3-5D5D-425C-9EBE-6AF1430C2C9B}"/>
  </w:font>
  <w:font w:name="方正小标宋_GBK">
    <w:panose1 w:val="03000509000000000000"/>
    <w:charset w:val="86"/>
    <w:family w:val="script"/>
    <w:pitch w:val="default"/>
    <w:sig w:usb0="00000000" w:usb1="00000000" w:usb2="00000000" w:usb3="00000000" w:csb0="00000000" w:csb1="00000000"/>
    <w:embedRegular r:id="rId10" w:fontKey="{2D6F3ACF-5380-4255-8754-E80A40E812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7A8GLABAABNAwAADgAAAGRycy9lMm9Eb2MueG1srVPNahsxEL4X8g5C&#10;91hrQ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29CLGSWOW5zR/sfL/ufv/a9nMp3mBvUBasx7CpiZhms/4KBHP6Az6x5UtPmL&#10;igjGsdW7U3vlkIjIj+az+bzCkMDYeEF89vo8REh30luSjYZGnF9pK99+gXRIHVNyNedvtTFlhsb9&#10;40DM7GGZ+4FjttKwGo6CVr7doZ4eR99Qh7tJibl32Nm8JaMRR2M1GpsQ9bora5TrQbjaJCRRuOUK&#10;B9hjYZxZUXfcr7wUf99L1utf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PewPBiwAQAA&#10;TQMAAA4AAAAAAAAAAQAgAAAAHgEAAGRycy9lMm9Eb2MueG1sUEsFBgAAAAAGAAYAWQEAAEAFAAAA&#10;AA==&#10;">
              <v:fill on="f" focussize="0,0"/>
              <v:stroke on="f"/>
              <v:imagedata o:title=""/>
              <o:lock v:ext="edit" aspectratio="f"/>
              <v:textbox inset="0mm,0mm,0mm,0mm" style="mso-fit-shape-to-text:t;">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5BD82C"/>
    <w:multiLevelType w:val="singleLevel"/>
    <w:tmpl w:val="8B5BD82C"/>
    <w:lvl w:ilvl="0" w:tentative="0">
      <w:start w:val="1"/>
      <w:numFmt w:val="chineseCounting"/>
      <w:suff w:val="nothing"/>
      <w:lvlText w:val="（%1）"/>
      <w:lvlJc w:val="left"/>
      <w:rPr>
        <w:rFonts w:hint="eastAsia"/>
      </w:rPr>
    </w:lvl>
  </w:abstractNum>
  <w:abstractNum w:abstractNumId="1">
    <w:nsid w:val="A6218609"/>
    <w:multiLevelType w:val="singleLevel"/>
    <w:tmpl w:val="A6218609"/>
    <w:lvl w:ilvl="0" w:tentative="0">
      <w:start w:val="1"/>
      <w:numFmt w:val="chineseCounting"/>
      <w:suff w:val="nothing"/>
      <w:lvlText w:val="（%1）"/>
      <w:lvlJc w:val="left"/>
      <w:rPr>
        <w:rFonts w:hint="eastAsia"/>
      </w:rPr>
    </w:lvl>
  </w:abstractNum>
  <w:abstractNum w:abstractNumId="2">
    <w:nsid w:val="DF07AB9F"/>
    <w:multiLevelType w:val="singleLevel"/>
    <w:tmpl w:val="DF07AB9F"/>
    <w:lvl w:ilvl="0" w:tentative="0">
      <w:start w:val="1"/>
      <w:numFmt w:val="chineseCounting"/>
      <w:suff w:val="nothing"/>
      <w:lvlText w:val="（%1）"/>
      <w:lvlJc w:val="left"/>
      <w:rPr>
        <w:rFonts w:hint="eastAsia"/>
      </w:rPr>
    </w:lvl>
  </w:abstractNum>
  <w:abstractNum w:abstractNumId="3">
    <w:nsid w:val="0904E1E0"/>
    <w:multiLevelType w:val="singleLevel"/>
    <w:tmpl w:val="0904E1E0"/>
    <w:lvl w:ilvl="0" w:tentative="0">
      <w:start w:val="1"/>
      <w:numFmt w:val="chineseCounting"/>
      <w:suff w:val="nothing"/>
      <w:lvlText w:val="%1、"/>
      <w:lvlJc w:val="left"/>
      <w:rPr>
        <w:rFonts w:hint="eastAsia"/>
      </w:rPr>
    </w:lvl>
  </w:abstractNum>
  <w:abstractNum w:abstractNumId="4">
    <w:nsid w:val="10039C2E"/>
    <w:multiLevelType w:val="singleLevel"/>
    <w:tmpl w:val="10039C2E"/>
    <w:lvl w:ilvl="0" w:tentative="0">
      <w:start w:val="2"/>
      <w:numFmt w:val="chineseCounting"/>
      <w:suff w:val="nothing"/>
      <w:lvlText w:val="（%1）"/>
      <w:lvlJc w:val="left"/>
      <w:rPr>
        <w:rFonts w:hint="eastAsia"/>
      </w:rPr>
    </w:lvl>
  </w:abstractNum>
  <w:abstractNum w:abstractNumId="5">
    <w:nsid w:val="60CD4A18"/>
    <w:multiLevelType w:val="singleLevel"/>
    <w:tmpl w:val="60CD4A18"/>
    <w:lvl w:ilvl="0" w:tentative="0">
      <w:start w:val="1"/>
      <w:numFmt w:val="chineseCounting"/>
      <w:suff w:val="nothing"/>
      <w:lvlText w:val="（%1）"/>
      <w:lvlJc w:val="left"/>
      <w:rPr>
        <w:rFonts w:hint="eastAsia"/>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lMjM5ZWY1ZDRhNDlmODFiZmIxYmU2NTAwMTUwNGYifQ=="/>
  </w:docVars>
  <w:rsids>
    <w:rsidRoot w:val="00172A27"/>
    <w:rsid w:val="00012546"/>
    <w:rsid w:val="00060529"/>
    <w:rsid w:val="000A72BA"/>
    <w:rsid w:val="00112A1B"/>
    <w:rsid w:val="00115FB2"/>
    <w:rsid w:val="00135362"/>
    <w:rsid w:val="0015169A"/>
    <w:rsid w:val="001606A0"/>
    <w:rsid w:val="001F6DC4"/>
    <w:rsid w:val="00200E3B"/>
    <w:rsid w:val="002222AC"/>
    <w:rsid w:val="00272C2D"/>
    <w:rsid w:val="00274509"/>
    <w:rsid w:val="00292528"/>
    <w:rsid w:val="00356BE6"/>
    <w:rsid w:val="00356DB6"/>
    <w:rsid w:val="003817EF"/>
    <w:rsid w:val="003828F9"/>
    <w:rsid w:val="003A5078"/>
    <w:rsid w:val="003C31D3"/>
    <w:rsid w:val="003C5545"/>
    <w:rsid w:val="003D7B7A"/>
    <w:rsid w:val="00440B26"/>
    <w:rsid w:val="0044793A"/>
    <w:rsid w:val="00500095"/>
    <w:rsid w:val="005102A3"/>
    <w:rsid w:val="00580AEF"/>
    <w:rsid w:val="00595FD5"/>
    <w:rsid w:val="005F7815"/>
    <w:rsid w:val="00633A63"/>
    <w:rsid w:val="006707EB"/>
    <w:rsid w:val="006A2C61"/>
    <w:rsid w:val="006B2A8B"/>
    <w:rsid w:val="006E089E"/>
    <w:rsid w:val="006E63E5"/>
    <w:rsid w:val="007005C5"/>
    <w:rsid w:val="00705B71"/>
    <w:rsid w:val="00711113"/>
    <w:rsid w:val="00874E68"/>
    <w:rsid w:val="0087571B"/>
    <w:rsid w:val="008763AC"/>
    <w:rsid w:val="00877C79"/>
    <w:rsid w:val="00877E94"/>
    <w:rsid w:val="008B367C"/>
    <w:rsid w:val="008C3670"/>
    <w:rsid w:val="0097202C"/>
    <w:rsid w:val="00993D7E"/>
    <w:rsid w:val="00A17423"/>
    <w:rsid w:val="00A2434E"/>
    <w:rsid w:val="00A43AA7"/>
    <w:rsid w:val="00A66611"/>
    <w:rsid w:val="00A779A2"/>
    <w:rsid w:val="00AF3A9C"/>
    <w:rsid w:val="00B17FBA"/>
    <w:rsid w:val="00B25650"/>
    <w:rsid w:val="00B2719A"/>
    <w:rsid w:val="00BA5BED"/>
    <w:rsid w:val="00BD6318"/>
    <w:rsid w:val="00C92607"/>
    <w:rsid w:val="00C958CE"/>
    <w:rsid w:val="00C979FE"/>
    <w:rsid w:val="00CC5821"/>
    <w:rsid w:val="00D3270B"/>
    <w:rsid w:val="00D5320B"/>
    <w:rsid w:val="00D71B1B"/>
    <w:rsid w:val="00E167B9"/>
    <w:rsid w:val="00E244F6"/>
    <w:rsid w:val="00EB0007"/>
    <w:rsid w:val="00EB5C1C"/>
    <w:rsid w:val="00ED4229"/>
    <w:rsid w:val="00F12314"/>
    <w:rsid w:val="00F747EF"/>
    <w:rsid w:val="00F853A3"/>
    <w:rsid w:val="00FA5124"/>
    <w:rsid w:val="00FD5275"/>
    <w:rsid w:val="01892462"/>
    <w:rsid w:val="019D562A"/>
    <w:rsid w:val="02D70C02"/>
    <w:rsid w:val="03024EF5"/>
    <w:rsid w:val="03195159"/>
    <w:rsid w:val="03881C78"/>
    <w:rsid w:val="039A5A40"/>
    <w:rsid w:val="03BD1BAE"/>
    <w:rsid w:val="040A20B6"/>
    <w:rsid w:val="040B296D"/>
    <w:rsid w:val="042F666F"/>
    <w:rsid w:val="04700CB8"/>
    <w:rsid w:val="04E562EB"/>
    <w:rsid w:val="04FA03B0"/>
    <w:rsid w:val="053D3BC4"/>
    <w:rsid w:val="05421031"/>
    <w:rsid w:val="0575341F"/>
    <w:rsid w:val="057E07C6"/>
    <w:rsid w:val="05886E41"/>
    <w:rsid w:val="061910AD"/>
    <w:rsid w:val="06274C91"/>
    <w:rsid w:val="06B712C9"/>
    <w:rsid w:val="06D13748"/>
    <w:rsid w:val="06E63D28"/>
    <w:rsid w:val="06E75817"/>
    <w:rsid w:val="06F72E4D"/>
    <w:rsid w:val="07121FCA"/>
    <w:rsid w:val="074632DF"/>
    <w:rsid w:val="074A2E82"/>
    <w:rsid w:val="07705CAD"/>
    <w:rsid w:val="07FE01EE"/>
    <w:rsid w:val="080D1CB5"/>
    <w:rsid w:val="082F691D"/>
    <w:rsid w:val="088553AB"/>
    <w:rsid w:val="08A84522"/>
    <w:rsid w:val="08B16A10"/>
    <w:rsid w:val="08C92B85"/>
    <w:rsid w:val="08CE2242"/>
    <w:rsid w:val="08DA2FCC"/>
    <w:rsid w:val="09987A56"/>
    <w:rsid w:val="09A50B03"/>
    <w:rsid w:val="09EB1350"/>
    <w:rsid w:val="09F90D0D"/>
    <w:rsid w:val="0A2366D9"/>
    <w:rsid w:val="0A5C09EE"/>
    <w:rsid w:val="0AB326D4"/>
    <w:rsid w:val="0ADE0215"/>
    <w:rsid w:val="0AEC3BD3"/>
    <w:rsid w:val="0B164844"/>
    <w:rsid w:val="0B4C2DF5"/>
    <w:rsid w:val="0B6160F7"/>
    <w:rsid w:val="0B8326A4"/>
    <w:rsid w:val="0B9B7C60"/>
    <w:rsid w:val="0C3C0AC4"/>
    <w:rsid w:val="0C4156F5"/>
    <w:rsid w:val="0D021F85"/>
    <w:rsid w:val="0D9E4B96"/>
    <w:rsid w:val="0DBD7CEC"/>
    <w:rsid w:val="0DD029DD"/>
    <w:rsid w:val="0E6F3982"/>
    <w:rsid w:val="0E7A485B"/>
    <w:rsid w:val="0E9C141F"/>
    <w:rsid w:val="0E9E79B5"/>
    <w:rsid w:val="0EAB1FCA"/>
    <w:rsid w:val="0F102CC4"/>
    <w:rsid w:val="0F3A4CC6"/>
    <w:rsid w:val="0FB0170F"/>
    <w:rsid w:val="0FFE6BF3"/>
    <w:rsid w:val="10136B5B"/>
    <w:rsid w:val="10165B46"/>
    <w:rsid w:val="10327CB3"/>
    <w:rsid w:val="103435D2"/>
    <w:rsid w:val="103B1D18"/>
    <w:rsid w:val="103F06DB"/>
    <w:rsid w:val="10512C11"/>
    <w:rsid w:val="1053261D"/>
    <w:rsid w:val="1058063F"/>
    <w:rsid w:val="10B3744D"/>
    <w:rsid w:val="10D8131B"/>
    <w:rsid w:val="1109033E"/>
    <w:rsid w:val="114C0484"/>
    <w:rsid w:val="1155638A"/>
    <w:rsid w:val="11907689"/>
    <w:rsid w:val="11B44AA1"/>
    <w:rsid w:val="11EF609E"/>
    <w:rsid w:val="12210F1F"/>
    <w:rsid w:val="12231BBF"/>
    <w:rsid w:val="122B2861"/>
    <w:rsid w:val="12744159"/>
    <w:rsid w:val="12A46D13"/>
    <w:rsid w:val="12B227AB"/>
    <w:rsid w:val="13371B21"/>
    <w:rsid w:val="141B7C72"/>
    <w:rsid w:val="146F55DD"/>
    <w:rsid w:val="14F6677D"/>
    <w:rsid w:val="151E5550"/>
    <w:rsid w:val="15381415"/>
    <w:rsid w:val="154C727C"/>
    <w:rsid w:val="157B4799"/>
    <w:rsid w:val="15C54AE8"/>
    <w:rsid w:val="164431E7"/>
    <w:rsid w:val="16881543"/>
    <w:rsid w:val="171952CF"/>
    <w:rsid w:val="173C100D"/>
    <w:rsid w:val="173F3759"/>
    <w:rsid w:val="179A37FF"/>
    <w:rsid w:val="179B32EF"/>
    <w:rsid w:val="17CE0776"/>
    <w:rsid w:val="17D26762"/>
    <w:rsid w:val="180725AD"/>
    <w:rsid w:val="18510B15"/>
    <w:rsid w:val="18594714"/>
    <w:rsid w:val="18832295"/>
    <w:rsid w:val="18840AD3"/>
    <w:rsid w:val="18E84F30"/>
    <w:rsid w:val="18F45835"/>
    <w:rsid w:val="19074ED5"/>
    <w:rsid w:val="1965042A"/>
    <w:rsid w:val="19734BF0"/>
    <w:rsid w:val="1AA6466A"/>
    <w:rsid w:val="1AA8271B"/>
    <w:rsid w:val="1AAE128F"/>
    <w:rsid w:val="1ADC7C4E"/>
    <w:rsid w:val="1AFD2137"/>
    <w:rsid w:val="1B6D2FB1"/>
    <w:rsid w:val="1B8100C5"/>
    <w:rsid w:val="1BF33939"/>
    <w:rsid w:val="1C020F97"/>
    <w:rsid w:val="1C0B3CC3"/>
    <w:rsid w:val="1C2F2F4F"/>
    <w:rsid w:val="1C730FDE"/>
    <w:rsid w:val="1D4B29A3"/>
    <w:rsid w:val="1D4E0007"/>
    <w:rsid w:val="1D5344DD"/>
    <w:rsid w:val="1D5F4341"/>
    <w:rsid w:val="1D650077"/>
    <w:rsid w:val="1D7D46A5"/>
    <w:rsid w:val="1DA5458D"/>
    <w:rsid w:val="1DA96935"/>
    <w:rsid w:val="1DE27913"/>
    <w:rsid w:val="1E24482A"/>
    <w:rsid w:val="1E342C3D"/>
    <w:rsid w:val="1E4B3080"/>
    <w:rsid w:val="1E5A641D"/>
    <w:rsid w:val="1ED64838"/>
    <w:rsid w:val="1EE155E2"/>
    <w:rsid w:val="1F3D1B1E"/>
    <w:rsid w:val="1F5676CC"/>
    <w:rsid w:val="1F58398F"/>
    <w:rsid w:val="1F5C33A4"/>
    <w:rsid w:val="1FB10E61"/>
    <w:rsid w:val="203C781B"/>
    <w:rsid w:val="20400893"/>
    <w:rsid w:val="207165DB"/>
    <w:rsid w:val="20FC7060"/>
    <w:rsid w:val="212F3833"/>
    <w:rsid w:val="215F4E1C"/>
    <w:rsid w:val="216D6205"/>
    <w:rsid w:val="217D4394"/>
    <w:rsid w:val="21E46981"/>
    <w:rsid w:val="21FA5286"/>
    <w:rsid w:val="2204550A"/>
    <w:rsid w:val="221C344E"/>
    <w:rsid w:val="22D407B4"/>
    <w:rsid w:val="22F442F8"/>
    <w:rsid w:val="233C2922"/>
    <w:rsid w:val="23952D50"/>
    <w:rsid w:val="23962F28"/>
    <w:rsid w:val="23DC7EA1"/>
    <w:rsid w:val="23E129DA"/>
    <w:rsid w:val="24087956"/>
    <w:rsid w:val="24976F38"/>
    <w:rsid w:val="249A2C0B"/>
    <w:rsid w:val="24D40A88"/>
    <w:rsid w:val="252009CE"/>
    <w:rsid w:val="252D1ED8"/>
    <w:rsid w:val="25876A3C"/>
    <w:rsid w:val="25AF6927"/>
    <w:rsid w:val="261070C9"/>
    <w:rsid w:val="261B4309"/>
    <w:rsid w:val="264628D2"/>
    <w:rsid w:val="26B947C5"/>
    <w:rsid w:val="26BA6204"/>
    <w:rsid w:val="27446D6E"/>
    <w:rsid w:val="2759519F"/>
    <w:rsid w:val="279B3DC6"/>
    <w:rsid w:val="27D20C8B"/>
    <w:rsid w:val="28141E1B"/>
    <w:rsid w:val="28C72F73"/>
    <w:rsid w:val="28E830B4"/>
    <w:rsid w:val="292F4A4F"/>
    <w:rsid w:val="29455937"/>
    <w:rsid w:val="294851FE"/>
    <w:rsid w:val="29725C61"/>
    <w:rsid w:val="29816FC4"/>
    <w:rsid w:val="299F1664"/>
    <w:rsid w:val="2AE72846"/>
    <w:rsid w:val="2B194B98"/>
    <w:rsid w:val="2B5E6193"/>
    <w:rsid w:val="2BA50303"/>
    <w:rsid w:val="2BA51DE4"/>
    <w:rsid w:val="2BEE3F5A"/>
    <w:rsid w:val="2CE701FA"/>
    <w:rsid w:val="2D4B3392"/>
    <w:rsid w:val="2D5C2342"/>
    <w:rsid w:val="2D7221EA"/>
    <w:rsid w:val="2D8015AC"/>
    <w:rsid w:val="2D8A2C4C"/>
    <w:rsid w:val="2DC85DBF"/>
    <w:rsid w:val="2DD10399"/>
    <w:rsid w:val="2E080AF1"/>
    <w:rsid w:val="2E2F3912"/>
    <w:rsid w:val="2E34052C"/>
    <w:rsid w:val="2E455DCD"/>
    <w:rsid w:val="2E4C1DDA"/>
    <w:rsid w:val="2E844C8F"/>
    <w:rsid w:val="2E895AC7"/>
    <w:rsid w:val="2F35155F"/>
    <w:rsid w:val="2F412AC4"/>
    <w:rsid w:val="2F516B8E"/>
    <w:rsid w:val="2F6617C7"/>
    <w:rsid w:val="3088078B"/>
    <w:rsid w:val="30984D0E"/>
    <w:rsid w:val="30BF0C9F"/>
    <w:rsid w:val="30E12AEA"/>
    <w:rsid w:val="310C2D41"/>
    <w:rsid w:val="317F4F49"/>
    <w:rsid w:val="31C53FA8"/>
    <w:rsid w:val="31D25E87"/>
    <w:rsid w:val="32011F47"/>
    <w:rsid w:val="32842AE6"/>
    <w:rsid w:val="330D0DEA"/>
    <w:rsid w:val="33A22B8D"/>
    <w:rsid w:val="33B96EAD"/>
    <w:rsid w:val="33F65D1B"/>
    <w:rsid w:val="34252B59"/>
    <w:rsid w:val="34780B0C"/>
    <w:rsid w:val="34B25E37"/>
    <w:rsid w:val="350573CF"/>
    <w:rsid w:val="356571BF"/>
    <w:rsid w:val="35885523"/>
    <w:rsid w:val="35A95B52"/>
    <w:rsid w:val="35E32D3C"/>
    <w:rsid w:val="361C761A"/>
    <w:rsid w:val="36326E3E"/>
    <w:rsid w:val="36966290"/>
    <w:rsid w:val="36F86E62"/>
    <w:rsid w:val="37701DBA"/>
    <w:rsid w:val="37E01C29"/>
    <w:rsid w:val="37E43A32"/>
    <w:rsid w:val="382A2178"/>
    <w:rsid w:val="385E0E12"/>
    <w:rsid w:val="38E5116D"/>
    <w:rsid w:val="38FA4DF0"/>
    <w:rsid w:val="39065649"/>
    <w:rsid w:val="396A5393"/>
    <w:rsid w:val="39DC5BFD"/>
    <w:rsid w:val="3A016FC1"/>
    <w:rsid w:val="3A08040D"/>
    <w:rsid w:val="3A916C1F"/>
    <w:rsid w:val="3AB132EF"/>
    <w:rsid w:val="3AD84ED2"/>
    <w:rsid w:val="3AE212EA"/>
    <w:rsid w:val="3AFE2182"/>
    <w:rsid w:val="3B4B5999"/>
    <w:rsid w:val="3B9F72A2"/>
    <w:rsid w:val="3BAC26DC"/>
    <w:rsid w:val="3BE4556B"/>
    <w:rsid w:val="3C0F6B8E"/>
    <w:rsid w:val="3C27636D"/>
    <w:rsid w:val="3C6B0B9A"/>
    <w:rsid w:val="3CC62F17"/>
    <w:rsid w:val="3D4855A0"/>
    <w:rsid w:val="3D5C1DC0"/>
    <w:rsid w:val="3D6A3743"/>
    <w:rsid w:val="3DD70781"/>
    <w:rsid w:val="3E153566"/>
    <w:rsid w:val="3F2565C9"/>
    <w:rsid w:val="3F3217DA"/>
    <w:rsid w:val="3F716B67"/>
    <w:rsid w:val="3FE57DC9"/>
    <w:rsid w:val="3FFB2B83"/>
    <w:rsid w:val="407A6529"/>
    <w:rsid w:val="408B63EC"/>
    <w:rsid w:val="40D70162"/>
    <w:rsid w:val="40E26E1C"/>
    <w:rsid w:val="411C77DE"/>
    <w:rsid w:val="413B4C25"/>
    <w:rsid w:val="41641009"/>
    <w:rsid w:val="418D1A52"/>
    <w:rsid w:val="41AF464B"/>
    <w:rsid w:val="41FC0817"/>
    <w:rsid w:val="42376092"/>
    <w:rsid w:val="42746213"/>
    <w:rsid w:val="42CE70B2"/>
    <w:rsid w:val="42F64DF0"/>
    <w:rsid w:val="42F65066"/>
    <w:rsid w:val="43087C17"/>
    <w:rsid w:val="431E39D0"/>
    <w:rsid w:val="43581783"/>
    <w:rsid w:val="43887742"/>
    <w:rsid w:val="43C442D8"/>
    <w:rsid w:val="44067922"/>
    <w:rsid w:val="44217369"/>
    <w:rsid w:val="442944F4"/>
    <w:rsid w:val="44590BD6"/>
    <w:rsid w:val="44AD5B1D"/>
    <w:rsid w:val="44E66F5C"/>
    <w:rsid w:val="44FF2B55"/>
    <w:rsid w:val="453935D0"/>
    <w:rsid w:val="45406324"/>
    <w:rsid w:val="455F7BDC"/>
    <w:rsid w:val="459F6E66"/>
    <w:rsid w:val="45BA748F"/>
    <w:rsid w:val="45C87241"/>
    <w:rsid w:val="45FA483C"/>
    <w:rsid w:val="463C2CC0"/>
    <w:rsid w:val="46CC6BCD"/>
    <w:rsid w:val="46E8302F"/>
    <w:rsid w:val="46F8199F"/>
    <w:rsid w:val="47313766"/>
    <w:rsid w:val="47AD11C0"/>
    <w:rsid w:val="48811AC2"/>
    <w:rsid w:val="48B05202"/>
    <w:rsid w:val="48DB21F9"/>
    <w:rsid w:val="49765D4C"/>
    <w:rsid w:val="498C4520"/>
    <w:rsid w:val="498E2164"/>
    <w:rsid w:val="49E86F6D"/>
    <w:rsid w:val="4A30452E"/>
    <w:rsid w:val="4A5C147F"/>
    <w:rsid w:val="4A82123F"/>
    <w:rsid w:val="4A8832F8"/>
    <w:rsid w:val="4AB976FE"/>
    <w:rsid w:val="4B0D007D"/>
    <w:rsid w:val="4B27046D"/>
    <w:rsid w:val="4B5E3066"/>
    <w:rsid w:val="4B8544C7"/>
    <w:rsid w:val="4B9373C3"/>
    <w:rsid w:val="4C336074"/>
    <w:rsid w:val="4D0F237E"/>
    <w:rsid w:val="4D161309"/>
    <w:rsid w:val="4DA23BD4"/>
    <w:rsid w:val="4DA65574"/>
    <w:rsid w:val="4DEE7E1B"/>
    <w:rsid w:val="4E01256C"/>
    <w:rsid w:val="4E0806B4"/>
    <w:rsid w:val="4E982272"/>
    <w:rsid w:val="4EAB2C08"/>
    <w:rsid w:val="4EF26A58"/>
    <w:rsid w:val="4EFC5E53"/>
    <w:rsid w:val="4F1134B0"/>
    <w:rsid w:val="4F8521D6"/>
    <w:rsid w:val="4F9C664B"/>
    <w:rsid w:val="500111EB"/>
    <w:rsid w:val="50407C6C"/>
    <w:rsid w:val="50737326"/>
    <w:rsid w:val="50AE44E2"/>
    <w:rsid w:val="50BC6E93"/>
    <w:rsid w:val="51056B88"/>
    <w:rsid w:val="510C79DF"/>
    <w:rsid w:val="512B272D"/>
    <w:rsid w:val="51383EC6"/>
    <w:rsid w:val="51542295"/>
    <w:rsid w:val="520B348B"/>
    <w:rsid w:val="52D8447C"/>
    <w:rsid w:val="52EE0906"/>
    <w:rsid w:val="53393B7E"/>
    <w:rsid w:val="53935D29"/>
    <w:rsid w:val="53D5409C"/>
    <w:rsid w:val="53D578AD"/>
    <w:rsid w:val="53F07695"/>
    <w:rsid w:val="540411E6"/>
    <w:rsid w:val="542A248B"/>
    <w:rsid w:val="545D6DB4"/>
    <w:rsid w:val="54D46776"/>
    <w:rsid w:val="54E42917"/>
    <w:rsid w:val="554F4B17"/>
    <w:rsid w:val="557042DF"/>
    <w:rsid w:val="55BF5546"/>
    <w:rsid w:val="55CD2A3E"/>
    <w:rsid w:val="5611777C"/>
    <w:rsid w:val="56352615"/>
    <w:rsid w:val="563B06E2"/>
    <w:rsid w:val="56CF69A8"/>
    <w:rsid w:val="575B7811"/>
    <w:rsid w:val="57955916"/>
    <w:rsid w:val="57B31347"/>
    <w:rsid w:val="57D40A97"/>
    <w:rsid w:val="59202A65"/>
    <w:rsid w:val="594E62AB"/>
    <w:rsid w:val="598A2B0E"/>
    <w:rsid w:val="59FC27B0"/>
    <w:rsid w:val="5A505AC2"/>
    <w:rsid w:val="5A54535C"/>
    <w:rsid w:val="5A604623"/>
    <w:rsid w:val="5A6A3DA8"/>
    <w:rsid w:val="5AB73BC5"/>
    <w:rsid w:val="5AEC22C9"/>
    <w:rsid w:val="5AF44A7E"/>
    <w:rsid w:val="5B664F1F"/>
    <w:rsid w:val="5B7613DD"/>
    <w:rsid w:val="5BD308DC"/>
    <w:rsid w:val="5C1376DC"/>
    <w:rsid w:val="5C377ED8"/>
    <w:rsid w:val="5CE2095E"/>
    <w:rsid w:val="5D076358"/>
    <w:rsid w:val="5D68301F"/>
    <w:rsid w:val="5D9222F9"/>
    <w:rsid w:val="5E1523FE"/>
    <w:rsid w:val="5E4B20CE"/>
    <w:rsid w:val="5ED76031"/>
    <w:rsid w:val="5EE74523"/>
    <w:rsid w:val="5EEE5CC7"/>
    <w:rsid w:val="5F4678B1"/>
    <w:rsid w:val="5F492468"/>
    <w:rsid w:val="5F6D22FF"/>
    <w:rsid w:val="5FF04D8E"/>
    <w:rsid w:val="601A1C8A"/>
    <w:rsid w:val="604C1BB9"/>
    <w:rsid w:val="606953F1"/>
    <w:rsid w:val="60AB7B91"/>
    <w:rsid w:val="60B969AA"/>
    <w:rsid w:val="60BA1775"/>
    <w:rsid w:val="60C50A1C"/>
    <w:rsid w:val="614041EB"/>
    <w:rsid w:val="61656D5A"/>
    <w:rsid w:val="618C4337"/>
    <w:rsid w:val="619D196F"/>
    <w:rsid w:val="61C66890"/>
    <w:rsid w:val="62C4428A"/>
    <w:rsid w:val="63C545A0"/>
    <w:rsid w:val="64342A5C"/>
    <w:rsid w:val="64734B19"/>
    <w:rsid w:val="647A7CF9"/>
    <w:rsid w:val="647F0DF9"/>
    <w:rsid w:val="64C302F9"/>
    <w:rsid w:val="64F80241"/>
    <w:rsid w:val="653C7D40"/>
    <w:rsid w:val="65502EAA"/>
    <w:rsid w:val="660E4EA0"/>
    <w:rsid w:val="66812C4D"/>
    <w:rsid w:val="66B90400"/>
    <w:rsid w:val="66E3635E"/>
    <w:rsid w:val="679B5C90"/>
    <w:rsid w:val="67C43A6C"/>
    <w:rsid w:val="67FE6DB4"/>
    <w:rsid w:val="6800519C"/>
    <w:rsid w:val="680D326D"/>
    <w:rsid w:val="688E7929"/>
    <w:rsid w:val="68D26DF9"/>
    <w:rsid w:val="692314EB"/>
    <w:rsid w:val="692961C4"/>
    <w:rsid w:val="6A0A6F3D"/>
    <w:rsid w:val="6AA46680"/>
    <w:rsid w:val="6AC92AD3"/>
    <w:rsid w:val="6B305E6F"/>
    <w:rsid w:val="6B477565"/>
    <w:rsid w:val="6B646B87"/>
    <w:rsid w:val="6BAD6D16"/>
    <w:rsid w:val="6CDA601A"/>
    <w:rsid w:val="6D1C261B"/>
    <w:rsid w:val="6D294C5F"/>
    <w:rsid w:val="6D6244BD"/>
    <w:rsid w:val="6D653C9D"/>
    <w:rsid w:val="6D741B03"/>
    <w:rsid w:val="6D974DC5"/>
    <w:rsid w:val="6DBB3204"/>
    <w:rsid w:val="6DE730A6"/>
    <w:rsid w:val="6E2F5F30"/>
    <w:rsid w:val="6E48491A"/>
    <w:rsid w:val="6E752B1D"/>
    <w:rsid w:val="6E80205A"/>
    <w:rsid w:val="6EA539CF"/>
    <w:rsid w:val="6EF056E3"/>
    <w:rsid w:val="6F09318B"/>
    <w:rsid w:val="6F7A7BE5"/>
    <w:rsid w:val="6FD17FB1"/>
    <w:rsid w:val="6FDA78FB"/>
    <w:rsid w:val="70266A97"/>
    <w:rsid w:val="70387C05"/>
    <w:rsid w:val="70991AC0"/>
    <w:rsid w:val="70FE1E2A"/>
    <w:rsid w:val="712E2B40"/>
    <w:rsid w:val="712E5C7A"/>
    <w:rsid w:val="71573B9F"/>
    <w:rsid w:val="71B061C3"/>
    <w:rsid w:val="71E35282"/>
    <w:rsid w:val="7289422C"/>
    <w:rsid w:val="72C17BB2"/>
    <w:rsid w:val="72D440E1"/>
    <w:rsid w:val="72DE697E"/>
    <w:rsid w:val="72E012D3"/>
    <w:rsid w:val="730C1FB8"/>
    <w:rsid w:val="73232A65"/>
    <w:rsid w:val="73E03841"/>
    <w:rsid w:val="741E31BA"/>
    <w:rsid w:val="74420FDF"/>
    <w:rsid w:val="749D5F31"/>
    <w:rsid w:val="74F73B5C"/>
    <w:rsid w:val="7506532C"/>
    <w:rsid w:val="75112038"/>
    <w:rsid w:val="752A7CDF"/>
    <w:rsid w:val="75527669"/>
    <w:rsid w:val="75F80F01"/>
    <w:rsid w:val="75F81C88"/>
    <w:rsid w:val="7664529F"/>
    <w:rsid w:val="768974C4"/>
    <w:rsid w:val="769A5576"/>
    <w:rsid w:val="76B11F95"/>
    <w:rsid w:val="77094BBB"/>
    <w:rsid w:val="775C7190"/>
    <w:rsid w:val="77883DA0"/>
    <w:rsid w:val="77AB03BC"/>
    <w:rsid w:val="78111B77"/>
    <w:rsid w:val="783E304F"/>
    <w:rsid w:val="785A0AD9"/>
    <w:rsid w:val="788249BE"/>
    <w:rsid w:val="78CF11EE"/>
    <w:rsid w:val="78FF6958"/>
    <w:rsid w:val="795C2A02"/>
    <w:rsid w:val="796E0E90"/>
    <w:rsid w:val="7A3F4E10"/>
    <w:rsid w:val="7A90290C"/>
    <w:rsid w:val="7A956238"/>
    <w:rsid w:val="7A9802C7"/>
    <w:rsid w:val="7AEA7343"/>
    <w:rsid w:val="7B6174B9"/>
    <w:rsid w:val="7B77572B"/>
    <w:rsid w:val="7BAD0F04"/>
    <w:rsid w:val="7BD01162"/>
    <w:rsid w:val="7C31015A"/>
    <w:rsid w:val="7C8D71FE"/>
    <w:rsid w:val="7CDD2FDC"/>
    <w:rsid w:val="7CDD3C2A"/>
    <w:rsid w:val="7CEA47C5"/>
    <w:rsid w:val="7CED6118"/>
    <w:rsid w:val="7CFE401A"/>
    <w:rsid w:val="7D4F03D5"/>
    <w:rsid w:val="7D826F56"/>
    <w:rsid w:val="7DC77BA3"/>
    <w:rsid w:val="7DDD6813"/>
    <w:rsid w:val="7DEA49C0"/>
    <w:rsid w:val="7E082AA4"/>
    <w:rsid w:val="7E266DD3"/>
    <w:rsid w:val="7E324C72"/>
    <w:rsid w:val="7F097A03"/>
    <w:rsid w:val="7F2F1657"/>
    <w:rsid w:val="7F454A87"/>
    <w:rsid w:val="7F906066"/>
    <w:rsid w:val="7FF466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outlineLvl w:val="0"/>
    </w:pPr>
    <w:rPr>
      <w:rFonts w:eastAsia="楷体"/>
      <w:kern w:val="44"/>
    </w:rPr>
  </w:style>
  <w:style w:type="character" w:default="1" w:styleId="14">
    <w:name w:val="Default Paragraph Font"/>
    <w:qFormat/>
    <w:uiPriority w:val="0"/>
  </w:style>
  <w:style w:type="table" w:default="1" w:styleId="13">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line="360" w:lineRule="auto"/>
      <w:ind w:firstLine="420"/>
    </w:pPr>
    <w:rPr>
      <w:sz w:val="28"/>
      <w:szCs w:val="20"/>
    </w:rPr>
  </w:style>
  <w:style w:type="paragraph" w:styleId="4">
    <w:name w:val="Body Text"/>
    <w:basedOn w:val="1"/>
    <w:next w:val="5"/>
    <w:qFormat/>
    <w:uiPriority w:val="0"/>
    <w:pPr>
      <w:jc w:val="center"/>
    </w:pPr>
    <w:rPr>
      <w:rFonts w:ascii="黑体" w:eastAsia="黑体"/>
      <w:sz w:val="30"/>
    </w:rPr>
  </w:style>
  <w:style w:type="paragraph" w:styleId="5">
    <w:name w:val="Body Text First Indent 2"/>
    <w:basedOn w:val="6"/>
    <w:qFormat/>
    <w:uiPriority w:val="0"/>
    <w:pPr>
      <w:ind w:firstLine="200" w:firstLineChars="200"/>
    </w:pPr>
  </w:style>
  <w:style w:type="paragraph" w:styleId="6">
    <w:name w:val="Body Text Indent"/>
    <w:basedOn w:val="1"/>
    <w:link w:val="23"/>
    <w:qFormat/>
    <w:uiPriority w:val="0"/>
    <w:pPr>
      <w:widowControl/>
      <w:adjustRightInd w:val="0"/>
      <w:snapToGrid w:val="0"/>
      <w:spacing w:before="100"/>
      <w:ind w:firstLine="640" w:firstLineChars="200"/>
      <w:jc w:val="left"/>
    </w:pPr>
    <w:rPr>
      <w:rFonts w:ascii="仿宋_GB2312" w:hAnsi="华文中宋" w:eastAsia="仿宋_GB2312"/>
      <w:kern w:val="0"/>
      <w:sz w:val="32"/>
      <w:szCs w:val="24"/>
    </w:rPr>
  </w:style>
  <w:style w:type="paragraph" w:styleId="7">
    <w:name w:val="Plain Text"/>
    <w:basedOn w:val="1"/>
    <w:link w:val="24"/>
    <w:qFormat/>
    <w:uiPriority w:val="0"/>
    <w:rPr>
      <w:rFonts w:ascii="宋体" w:hAnsi="Courier New"/>
      <w:sz w:val="32"/>
      <w:szCs w:val="32"/>
    </w:rPr>
  </w:style>
  <w:style w:type="paragraph" w:styleId="8">
    <w:name w:val="Balloon Text"/>
    <w:basedOn w:val="1"/>
    <w:link w:val="25"/>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0"/>
    <w:pPr>
      <w:ind w:left="420" w:leftChars="200"/>
    </w:pPr>
  </w:style>
  <w:style w:type="paragraph" w:styleId="12">
    <w:name w:val="Normal (Web)"/>
    <w:basedOn w:val="1"/>
    <w:qFormat/>
    <w:uiPriority w:val="0"/>
    <w:pPr>
      <w:jc w:val="left"/>
    </w:pPr>
    <w:rPr>
      <w:kern w:val="0"/>
      <w:sz w:val="24"/>
    </w:rPr>
  </w:style>
  <w:style w:type="character" w:styleId="15">
    <w:name w:val="page number"/>
    <w:basedOn w:val="14"/>
    <w:qFormat/>
    <w:uiPriority w:val="0"/>
  </w:style>
  <w:style w:type="character" w:styleId="16">
    <w:name w:val="Hyperlink"/>
    <w:qFormat/>
    <w:uiPriority w:val="0"/>
    <w:rPr>
      <w:color w:val="0000FF"/>
      <w:u w:val="single"/>
    </w:rPr>
  </w:style>
  <w:style w:type="paragraph" w:customStyle="1" w:styleId="17">
    <w:name w:val="Date"/>
    <w:basedOn w:val="1"/>
    <w:next w:val="1"/>
    <w:link w:val="29"/>
    <w:qFormat/>
    <w:uiPriority w:val="0"/>
    <w:pPr>
      <w:ind w:left="100" w:leftChars="2500"/>
    </w:pPr>
  </w:style>
  <w:style w:type="paragraph" w:customStyle="1" w:styleId="18">
    <w:name w:val="ParaAttribute6"/>
    <w:qFormat/>
    <w:uiPriority w:val="0"/>
    <w:pPr>
      <w:widowControl w:val="0"/>
      <w:wordWrap w:val="0"/>
      <w:ind w:firstLine="600"/>
      <w:jc w:val="both"/>
    </w:pPr>
    <w:rPr>
      <w:rFonts w:ascii="Times New Roman" w:hAnsi="Times New Roman" w:eastAsia="Batang" w:cs="Times New Roman"/>
      <w:lang w:val="en-US" w:eastAsia="zh-CN" w:bidi="ar-SA"/>
    </w:rPr>
  </w:style>
  <w:style w:type="paragraph" w:customStyle="1" w:styleId="19">
    <w:name w:val="内标题一"/>
    <w:basedOn w:val="1"/>
    <w:qFormat/>
    <w:uiPriority w:val="0"/>
    <w:rPr>
      <w:rFonts w:eastAsia="楷体"/>
    </w:rPr>
  </w:style>
  <w:style w:type="paragraph" w:customStyle="1" w:styleId="20">
    <w:name w:val="样式1"/>
    <w:basedOn w:val="4"/>
    <w:next w:val="10"/>
    <w:qFormat/>
    <w:uiPriority w:val="0"/>
    <w:pPr>
      <w:spacing w:before="156" w:beforeLines="50" w:after="156" w:afterLines="50" w:line="360" w:lineRule="auto"/>
      <w:jc w:val="both"/>
    </w:pPr>
    <w:rPr>
      <w:rFonts w:ascii="宋体" w:hAnsi="宋体"/>
      <w:sz w:val="30"/>
    </w:rPr>
  </w:style>
  <w:style w:type="paragraph" w:customStyle="1" w:styleId="21">
    <w:name w:val="ParaAttribute8"/>
    <w:qFormat/>
    <w:uiPriority w:val="0"/>
    <w:pPr>
      <w:widowControl w:val="0"/>
      <w:wordWrap w:val="0"/>
      <w:ind w:firstLine="6000"/>
      <w:jc w:val="both"/>
    </w:pPr>
    <w:rPr>
      <w:rFonts w:ascii="Times New Roman" w:hAnsi="Times New Roman" w:eastAsia="Batang" w:cs="Times New Roman"/>
      <w:lang w:val="en-US" w:eastAsia="zh-CN" w:bidi="ar-SA"/>
    </w:rPr>
  </w:style>
  <w:style w:type="paragraph" w:customStyle="1" w:styleId="22">
    <w:name w:val="ParaAttribute4"/>
    <w:qFormat/>
    <w:uiPriority w:val="0"/>
    <w:pPr>
      <w:widowControl w:val="0"/>
      <w:wordWrap w:val="0"/>
      <w:ind w:firstLine="480"/>
      <w:jc w:val="both"/>
    </w:pPr>
    <w:rPr>
      <w:rFonts w:ascii="Times New Roman" w:hAnsi="Times New Roman" w:eastAsia="Batang" w:cs="Times New Roman"/>
      <w:lang w:val="en-US" w:eastAsia="zh-CN" w:bidi="ar-SA"/>
    </w:rPr>
  </w:style>
  <w:style w:type="character" w:customStyle="1" w:styleId="23">
    <w:name w:val="正文文本缩进 字符"/>
    <w:link w:val="6"/>
    <w:qFormat/>
    <w:uiPriority w:val="0"/>
    <w:rPr>
      <w:rFonts w:ascii="仿宋_GB2312" w:hAnsi="华文中宋" w:eastAsia="仿宋_GB2312"/>
      <w:sz w:val="32"/>
      <w:szCs w:val="24"/>
    </w:rPr>
  </w:style>
  <w:style w:type="character" w:customStyle="1" w:styleId="24">
    <w:name w:val="纯文本 字符"/>
    <w:link w:val="7"/>
    <w:qFormat/>
    <w:uiPriority w:val="0"/>
    <w:rPr>
      <w:rFonts w:ascii="宋体" w:hAnsi="Courier New"/>
      <w:sz w:val="32"/>
      <w:szCs w:val="32"/>
    </w:rPr>
  </w:style>
  <w:style w:type="character" w:customStyle="1" w:styleId="25">
    <w:name w:val="批注框文本 字符"/>
    <w:link w:val="8"/>
    <w:qFormat/>
    <w:uiPriority w:val="0"/>
    <w:rPr>
      <w:sz w:val="18"/>
      <w:szCs w:val="18"/>
    </w:rPr>
  </w:style>
  <w:style w:type="character" w:customStyle="1" w:styleId="26">
    <w:name w:val="页脚 字符"/>
    <w:link w:val="9"/>
    <w:qFormat/>
    <w:uiPriority w:val="0"/>
    <w:rPr>
      <w:sz w:val="18"/>
      <w:szCs w:val="18"/>
    </w:rPr>
  </w:style>
  <w:style w:type="character" w:customStyle="1" w:styleId="27">
    <w:name w:val="页眉 字符"/>
    <w:link w:val="10"/>
    <w:qFormat/>
    <w:uiPriority w:val="0"/>
    <w:rPr>
      <w:sz w:val="18"/>
      <w:szCs w:val="18"/>
    </w:rPr>
  </w:style>
  <w:style w:type="character" w:customStyle="1" w:styleId="28">
    <w:name w:val="CharAttribute5"/>
    <w:qFormat/>
    <w:uiPriority w:val="0"/>
    <w:rPr>
      <w:rFonts w:ascii="仿宋_GB2312" w:eastAsia="仿宋_GB2312"/>
      <w:sz w:val="30"/>
    </w:rPr>
  </w:style>
  <w:style w:type="character" w:customStyle="1" w:styleId="29">
    <w:name w:val="日期 字符"/>
    <w:basedOn w:val="14"/>
    <w:link w:val="17"/>
    <w:qFormat/>
    <w:uiPriority w:val="0"/>
  </w:style>
  <w:style w:type="character" w:customStyle="1" w:styleId="30">
    <w:name w:val="正文文本缩进 字符1"/>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13</Pages>
  <Words>4762</Words>
  <Characters>5138</Characters>
  <Lines>465</Lines>
  <Paragraphs>335</Paragraphs>
  <TotalTime>38</TotalTime>
  <ScaleCrop>false</ScaleCrop>
  <LinksUpToDate>false</LinksUpToDate>
  <CharactersWithSpaces>5218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2016-11-23T03:56:00Z</dcterms:created>
  <dc:creator>邓翠美</dc:creator>
  <cp:lastModifiedBy>白艳萍</cp:lastModifiedBy>
  <cp:lastPrinted>2022-10-20T02:36:00Z</cp:lastPrinted>
  <dcterms:modified xsi:type="dcterms:W3CDTF">2022-10-20T07:52:32Z</dcterms:modified>
  <dc:title>邱子谦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E4877EBF05A54BD38FCC6DF4F81881E9</vt:lpwstr>
  </property>
  <property fmtid="{D5CDD505-2E9C-101B-9397-08002B2CF9AE}" pid="4" name="KSOSaveFontToCloudKey">
    <vt:lpwstr>288039858_embed</vt:lpwstr>
  </property>
</Properties>
</file>